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56" w:rsidRDefault="00691D98">
      <w:pPr>
        <w:jc w:val="center"/>
        <w:rPr>
          <w:b/>
          <w:color w:val="FF0000"/>
          <w:sz w:val="36"/>
        </w:rPr>
      </w:pPr>
      <w:r>
        <w:rPr>
          <w:noProof/>
        </w:rPr>
        <w:drawing>
          <wp:inline distT="0" distB="0" distL="0" distR="0">
            <wp:extent cx="91440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914400" cy="914400"/>
                    </a:xfrm>
                    <a:prstGeom prst="rect">
                      <a:avLst/>
                    </a:prstGeom>
                    <a:solidFill>
                      <a:srgbClr val="FFFFFF"/>
                    </a:solidFill>
                  </pic:spPr>
                </pic:pic>
              </a:graphicData>
            </a:graphic>
          </wp:inline>
        </w:drawing>
      </w:r>
    </w:p>
    <w:p w:rsidR="00B42F56" w:rsidRDefault="00B42F56">
      <w:pPr>
        <w:jc w:val="center"/>
        <w:rPr>
          <w:b/>
          <w:sz w:val="36"/>
        </w:rPr>
      </w:pPr>
    </w:p>
    <w:p w:rsidR="00B42F56" w:rsidRDefault="00B42F56">
      <w:pPr>
        <w:jc w:val="center"/>
        <w:rPr>
          <w:b/>
          <w:sz w:val="36"/>
        </w:rPr>
      </w:pPr>
    </w:p>
    <w:p w:rsidR="00B42F56" w:rsidRDefault="00B42F56">
      <w:pPr>
        <w:jc w:val="center"/>
        <w:rPr>
          <w:b/>
          <w:sz w:val="36"/>
        </w:rPr>
      </w:pPr>
    </w:p>
    <w:p w:rsidR="00B42F56" w:rsidRDefault="00B42F56">
      <w:pPr>
        <w:jc w:val="center"/>
        <w:rPr>
          <w:b/>
          <w:sz w:val="36"/>
        </w:rPr>
      </w:pPr>
    </w:p>
    <w:p w:rsidR="00B42F56" w:rsidRDefault="00B42F56">
      <w:pPr>
        <w:jc w:val="center"/>
        <w:rPr>
          <w:b/>
          <w:sz w:val="36"/>
        </w:rPr>
      </w:pPr>
    </w:p>
    <w:p w:rsidR="00B42F56" w:rsidRDefault="00691D98">
      <w:pPr>
        <w:jc w:val="center"/>
        <w:rPr>
          <w:rFonts w:ascii="Heavitas" w:hAnsi="Heavitas"/>
          <w:b/>
          <w:sz w:val="48"/>
        </w:rPr>
      </w:pPr>
      <w:r>
        <w:rPr>
          <w:rFonts w:ascii="Heavitas" w:hAnsi="Heavitas"/>
          <w:b/>
          <w:sz w:val="48"/>
        </w:rPr>
        <w:t>Relazione sulla Gestione</w:t>
      </w:r>
    </w:p>
    <w:p w:rsidR="00B42F56" w:rsidRDefault="00691D98">
      <w:pPr>
        <w:jc w:val="center"/>
        <w:rPr>
          <w:rFonts w:ascii="Heavitas" w:hAnsi="Heavitas"/>
          <w:b/>
          <w:sz w:val="48"/>
        </w:rPr>
      </w:pPr>
      <w:r>
        <w:rPr>
          <w:rFonts w:ascii="Heavitas" w:hAnsi="Heavitas"/>
          <w:b/>
          <w:sz w:val="48"/>
        </w:rPr>
        <w:t>Rendiconto 2019</w:t>
      </w:r>
    </w:p>
    <w:p w:rsidR="00B42F56" w:rsidRDefault="00B42F56">
      <w:pPr>
        <w:jc w:val="center"/>
        <w:rPr>
          <w:rFonts w:ascii="Heavitas" w:hAnsi="Heavitas"/>
          <w:b/>
          <w:sz w:val="48"/>
        </w:rPr>
      </w:pPr>
    </w:p>
    <w:p w:rsidR="00B42F56" w:rsidRDefault="00B42F56">
      <w:pPr>
        <w:jc w:val="center"/>
        <w:rPr>
          <w:rFonts w:ascii="Heavitas" w:hAnsi="Heavitas"/>
          <w:b/>
          <w:sz w:val="36"/>
        </w:rPr>
      </w:pPr>
    </w:p>
    <w:p w:rsidR="00B42F56" w:rsidRDefault="00B42F56">
      <w:pPr>
        <w:jc w:val="center"/>
        <w:rPr>
          <w:rFonts w:ascii="Heavitas" w:hAnsi="Heavitas"/>
          <w:b/>
          <w:sz w:val="36"/>
        </w:rPr>
      </w:pPr>
    </w:p>
    <w:p w:rsidR="00B42F56" w:rsidRPr="00F04CB8" w:rsidRDefault="00691D98">
      <w:pPr>
        <w:jc w:val="center"/>
        <w:rPr>
          <w:b/>
          <w:sz w:val="36"/>
        </w:rPr>
      </w:pPr>
      <w:r w:rsidRPr="00F04CB8">
        <w:rPr>
          <w:b/>
          <w:sz w:val="40"/>
        </w:rPr>
        <w:t>Comune di Sarroch</w:t>
      </w:r>
    </w:p>
    <w:p w:rsidR="00B42F56" w:rsidRDefault="00B42F56">
      <w:pPr>
        <w:jc w:val="center"/>
        <w:rPr>
          <w:b/>
          <w:color w:val="FF0000"/>
          <w:sz w:val="36"/>
        </w:rPr>
      </w:pPr>
    </w:p>
    <w:p w:rsidR="00B42F56" w:rsidRDefault="00B42F56">
      <w:pPr>
        <w:jc w:val="center"/>
        <w:rPr>
          <w:b/>
          <w:color w:val="FF0000"/>
          <w:sz w:val="36"/>
        </w:rPr>
      </w:pPr>
    </w:p>
    <w:p w:rsidR="00B42F56" w:rsidRDefault="00B42F56">
      <w:pPr>
        <w:rPr>
          <w:color w:val="FF0000"/>
        </w:rPr>
      </w:pPr>
    </w:p>
    <w:p w:rsidR="00B42F56" w:rsidRDefault="00B42F56">
      <w:pPr>
        <w:pStyle w:val="Titolo1"/>
      </w:pPr>
      <w:bookmarkStart w:id="0" w:name="_Toc477717545"/>
    </w:p>
    <w:p w:rsidR="00B42F56" w:rsidRDefault="00691D98">
      <w:pPr>
        <w:rPr>
          <w:b/>
          <w:color w:val="000000" w:themeColor="text1"/>
          <w:sz w:val="32"/>
          <w:lang w:eastAsia="en-US"/>
        </w:rPr>
      </w:pPr>
      <w:r>
        <w:br w:type="page"/>
      </w:r>
    </w:p>
    <w:bookmarkEnd w:id="0"/>
    <w:p w:rsidR="00B42F56" w:rsidRDefault="00B42F56"/>
    <w:p w:rsidR="00B42F56" w:rsidRDefault="00691D98">
      <w:pPr>
        <w:pStyle w:val="Titolo2"/>
      </w:pPr>
      <w:bookmarkStart w:id="1" w:name="_Toc477717551"/>
      <w:r>
        <w:t>LA GESTIONE DI COMPETENZA</w:t>
      </w:r>
      <w:bookmarkEnd w:id="1"/>
    </w:p>
    <w:p w:rsidR="00B42F56" w:rsidRDefault="00B42F56"/>
    <w:p w:rsidR="00B42F56" w:rsidRDefault="00691D98">
      <w:r>
        <w:t>La gestione di Competenza dell’esercizio 201</w:t>
      </w:r>
      <w:r w:rsidR="006742C4">
        <w:t>9</w:t>
      </w:r>
      <w:r>
        <w:t xml:space="preserve"> può essere sinteticamente rappresentata dal seguente prospetto:</w:t>
      </w:r>
    </w:p>
    <w:p w:rsidR="00B42F56" w:rsidRDefault="00B42F56">
      <w:pPr>
        <w:rPr>
          <w:color w:val="FF0000"/>
        </w:rPr>
      </w:pPr>
    </w:p>
    <w:tbl>
      <w:tblPr>
        <w:tblW w:w="0" w:type="auto"/>
        <w:tblCellMar>
          <w:left w:w="0" w:type="dxa"/>
          <w:right w:w="0" w:type="dxa"/>
        </w:tblCellMar>
        <w:tblLook w:val="04A0" w:firstRow="1" w:lastRow="0" w:firstColumn="1" w:lastColumn="0" w:noHBand="0" w:noVBand="1"/>
      </w:tblPr>
      <w:tblGrid>
        <w:gridCol w:w="15"/>
        <w:gridCol w:w="15"/>
        <w:gridCol w:w="3150"/>
        <w:gridCol w:w="1290"/>
        <w:gridCol w:w="1305"/>
        <w:gridCol w:w="3180"/>
        <w:gridCol w:w="1260"/>
        <w:gridCol w:w="1305"/>
      </w:tblGrid>
      <w:tr w:rsidR="00B42F56">
        <w:trPr>
          <w:trHeight w:val="525"/>
        </w:trPr>
        <w:tc>
          <w:tcPr>
            <w:tcW w:w="15" w:type="dxa"/>
          </w:tcPr>
          <w:p w:rsidR="00B42F56" w:rsidRDefault="00B42F56">
            <w:pPr>
              <w:rPr>
                <w:rFonts w:ascii="Times New Roman" w:hAnsi="Times New Roman"/>
                <w:sz w:val="1"/>
              </w:rPr>
            </w:pPr>
          </w:p>
        </w:tc>
        <w:tc>
          <w:tcPr>
            <w:tcW w:w="1150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right="28"/>
              <w:jc w:val="center"/>
              <w:rPr>
                <w:rFonts w:ascii="Tahoma" w:hAnsi="Tahoma"/>
                <w:b/>
                <w:color w:val="191970"/>
                <w:sz w:val="24"/>
              </w:rPr>
            </w:pPr>
            <w:r>
              <w:rPr>
                <w:rFonts w:ascii="Tahoma" w:hAnsi="Tahoma"/>
                <w:b/>
                <w:color w:val="191970"/>
                <w:sz w:val="24"/>
              </w:rPr>
              <w:t>QUADRO GENERALE RIASSUNTIVO</w:t>
            </w:r>
          </w:p>
        </w:tc>
      </w:tr>
      <w:tr w:rsidR="00B42F56">
        <w:trPr>
          <w:trHeight w:val="360"/>
        </w:trPr>
        <w:tc>
          <w:tcPr>
            <w:tcW w:w="15" w:type="dxa"/>
          </w:tcPr>
          <w:p w:rsidR="00B42F56" w:rsidRDefault="00B42F56">
            <w:pPr>
              <w:rPr>
                <w:rFonts w:ascii="Times New Roman" w:hAnsi="Times New Roman"/>
                <w:sz w:val="1"/>
              </w:rPr>
            </w:pPr>
          </w:p>
        </w:tc>
        <w:tc>
          <w:tcPr>
            <w:tcW w:w="3165" w:type="dxa"/>
            <w:gridSpan w:val="2"/>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ENTRATE</w:t>
            </w:r>
          </w:p>
        </w:tc>
        <w:tc>
          <w:tcPr>
            <w:tcW w:w="129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ACCERTAMENTI</w:t>
            </w:r>
          </w:p>
        </w:tc>
        <w:tc>
          <w:tcPr>
            <w:tcW w:w="130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INCASSI</w:t>
            </w:r>
          </w:p>
        </w:tc>
        <w:tc>
          <w:tcPr>
            <w:tcW w:w="318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SPESE</w:t>
            </w:r>
          </w:p>
        </w:tc>
        <w:tc>
          <w:tcPr>
            <w:tcW w:w="12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IMPEGNI</w:t>
            </w:r>
          </w:p>
        </w:tc>
        <w:tc>
          <w:tcPr>
            <w:tcW w:w="130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PAGAMENTI</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Fondo di cassa all'inizio dell'esercizio</w:t>
            </w:r>
          </w:p>
        </w:tc>
        <w:tc>
          <w:tcPr>
            <w:tcW w:w="12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35.405.293,85</w:t>
            </w:r>
          </w:p>
        </w:tc>
        <w:tc>
          <w:tcPr>
            <w:tcW w:w="3180" w:type="dxa"/>
            <w:tcBorders>
              <w:top w:val="single" w:sz="6" w:space="0" w:color="000000"/>
              <w:bottom w:val="single" w:sz="6" w:space="0" w:color="000000"/>
              <w:right w:val="single" w:sz="6" w:space="0" w:color="000000"/>
            </w:tcBorders>
            <w:vAlign w:val="center"/>
          </w:tcPr>
          <w:p w:rsidR="00B42F56" w:rsidRDefault="00B42F56">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Utilizzo avanzo di amministrazione</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1.729.743,91</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Disavanzo di amministrazione</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45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Fondo pluriennale vincolato di parte corrente</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114.324,43</w:t>
            </w: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B42F56" w:rsidRDefault="00B42F56">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45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Fondo pluriennale vincolato di parte corrente</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3.667.699,39</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B42F56">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Titolo 1 Entrate correnti</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8.496.151,43</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9.370.803,21</w:t>
            </w:r>
          </w:p>
        </w:tc>
        <w:tc>
          <w:tcPr>
            <w:tcW w:w="3180"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Titolo 1 Spese correnti</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7.913.201,23</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8.814.684,61</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B42F56">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130.401,50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Titolo 2 Trasferimenti correnti</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2.925.916,35</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2.831.693,24</w:t>
            </w:r>
          </w:p>
        </w:tc>
        <w:tc>
          <w:tcPr>
            <w:tcW w:w="3180" w:type="dxa"/>
            <w:tcBorders>
              <w:top w:val="single" w:sz="6" w:space="0" w:color="000000"/>
              <w:bottom w:val="single" w:sz="6" w:space="0" w:color="000000"/>
              <w:right w:val="single" w:sz="6" w:space="0" w:color="000000"/>
            </w:tcBorders>
            <w:vAlign w:val="center"/>
          </w:tcPr>
          <w:p w:rsidR="00B42F56" w:rsidRDefault="00B42F56">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Titolo 3 Entrate tributarie</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377.073,78</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280.156,24</w:t>
            </w: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Titolo 2 Spese c/capitale</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1.389.911,53</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1.652.278,23</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B42F56">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3.392.619,78</w:t>
            </w: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45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Titolo 4 Entrate c/capitale</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3.182.462,68</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477.444,60</w:t>
            </w: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Titolo 3 Spese incremento attività finanziarie</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B42F56">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fondo pluriennale vincolato</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435"/>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Titolo 5 Entrate riduzione attività finanziarie</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B42F56">
            <w:pPr>
              <w:ind w:left="72"/>
              <w:rPr>
                <w:rFonts w:ascii="Tahoma" w:hAnsi="Tahoma"/>
                <w:color w:val="000000"/>
                <w:sz w:val="16"/>
              </w:rPr>
            </w:pP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Totale entrate finali</w:t>
            </w:r>
          </w:p>
        </w:tc>
        <w:tc>
          <w:tcPr>
            <w:tcW w:w="129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14.981.604,24</w:t>
            </w:r>
          </w:p>
        </w:tc>
        <w:tc>
          <w:tcPr>
            <w:tcW w:w="1305"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12.960.097,29</w:t>
            </w:r>
          </w:p>
        </w:tc>
        <w:tc>
          <w:tcPr>
            <w:tcW w:w="3180" w:type="dxa"/>
            <w:tcBorders>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Totale spese finali</w:t>
            </w:r>
          </w:p>
        </w:tc>
        <w:tc>
          <w:tcPr>
            <w:tcW w:w="126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12.826.134,04</w:t>
            </w:r>
          </w:p>
        </w:tc>
        <w:tc>
          <w:tcPr>
            <w:tcW w:w="1305"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10.466.962,84</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Titolo 6 Accensione prestiti</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Titolo 4 Rimborso prestiti</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B42F56">
            <w:pPr>
              <w:ind w:left="43"/>
              <w:rPr>
                <w:rFonts w:ascii="Tahoma" w:hAnsi="Tahoma"/>
                <w:color w:val="000000"/>
                <w:sz w:val="16"/>
              </w:rPr>
            </w:pPr>
          </w:p>
        </w:tc>
        <w:tc>
          <w:tcPr>
            <w:tcW w:w="12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Fondo anticipazioni di liquidità</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Titolo 7 Anticipazioni</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Titolo 5 Anticipazioni</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Titolo 9 Entrate c/terzi</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1.156.700,74</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1.172.666,20</w:t>
            </w:r>
          </w:p>
        </w:tc>
        <w:tc>
          <w:tcPr>
            <w:tcW w:w="3180"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Titolo 7 Spese c/terzi</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1.156.700,74</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1.155.668,68</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6"/>
              </w:rPr>
            </w:pPr>
            <w:r>
              <w:rPr>
                <w:rFonts w:ascii="Tahoma" w:hAnsi="Tahoma"/>
                <w:b/>
                <w:color w:val="000000"/>
                <w:sz w:val="16"/>
              </w:rPr>
              <w:t>Totale entrate dell'esercizio</w:t>
            </w:r>
          </w:p>
        </w:tc>
        <w:tc>
          <w:tcPr>
            <w:tcW w:w="129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16.138.304,98</w:t>
            </w:r>
          </w:p>
        </w:tc>
        <w:tc>
          <w:tcPr>
            <w:tcW w:w="1305"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14.132.763,49</w:t>
            </w:r>
          </w:p>
        </w:tc>
        <w:tc>
          <w:tcPr>
            <w:tcW w:w="318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6"/>
              </w:rPr>
            </w:pPr>
            <w:r>
              <w:rPr>
                <w:rFonts w:ascii="Tahoma" w:hAnsi="Tahoma"/>
                <w:b/>
                <w:color w:val="000000"/>
                <w:sz w:val="16"/>
              </w:rPr>
              <w:t>Totale spese dell'esercizio</w:t>
            </w:r>
          </w:p>
        </w:tc>
        <w:tc>
          <w:tcPr>
            <w:tcW w:w="126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13.982.834,78</w:t>
            </w:r>
          </w:p>
        </w:tc>
        <w:tc>
          <w:tcPr>
            <w:tcW w:w="1305"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11.622.631,52</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4"/>
              </w:rPr>
            </w:pPr>
            <w:r>
              <w:rPr>
                <w:rFonts w:ascii="Tahoma" w:hAnsi="Tahoma"/>
                <w:b/>
                <w:color w:val="000000"/>
                <w:sz w:val="14"/>
              </w:rPr>
              <w:t>TOTALE COMPLESSIVO ENTRATE</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21.650.072,71</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49.538.057,34</w:t>
            </w:r>
          </w:p>
        </w:tc>
        <w:tc>
          <w:tcPr>
            <w:tcW w:w="318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4"/>
              </w:rPr>
            </w:pPr>
            <w:r>
              <w:rPr>
                <w:rFonts w:ascii="Tahoma" w:hAnsi="Tahoma"/>
                <w:b/>
                <w:color w:val="000000"/>
                <w:sz w:val="14"/>
              </w:rPr>
              <w:t>TOTALE COMPLESSIVO SPESE</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13.982.834,78</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11.622.631,52</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4"/>
              </w:rPr>
            </w:pPr>
            <w:r>
              <w:rPr>
                <w:rFonts w:ascii="Tahoma" w:hAnsi="Tahoma"/>
                <w:b/>
                <w:color w:val="000000"/>
                <w:sz w:val="14"/>
              </w:rPr>
              <w:t>DISAVANZO DELL'ESERCIZIO</w:t>
            </w:r>
          </w:p>
        </w:tc>
        <w:tc>
          <w:tcPr>
            <w:tcW w:w="12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318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4"/>
              </w:rPr>
            </w:pPr>
            <w:r>
              <w:rPr>
                <w:rFonts w:ascii="Tahoma" w:hAnsi="Tahoma"/>
                <w:b/>
                <w:color w:val="000000"/>
                <w:sz w:val="14"/>
              </w:rPr>
              <w:t>AVANZO COMPETENZA/FONDO CASSA</w:t>
            </w:r>
          </w:p>
        </w:tc>
        <w:tc>
          <w:tcPr>
            <w:tcW w:w="126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7.667.237,93</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37.915.425,82</w:t>
            </w:r>
          </w:p>
        </w:tc>
      </w:tr>
      <w:tr w:rsidR="00B42F56">
        <w:trPr>
          <w:trHeight w:val="360"/>
        </w:trPr>
        <w:tc>
          <w:tcPr>
            <w:tcW w:w="30" w:type="dxa"/>
            <w:gridSpan w:val="2"/>
          </w:tcPr>
          <w:p w:rsidR="00B42F56" w:rsidRDefault="00B42F56">
            <w:pPr>
              <w:rPr>
                <w:rFonts w:ascii="Times New Roman" w:hAnsi="Times New Roman"/>
                <w:sz w:val="1"/>
              </w:rPr>
            </w:pPr>
          </w:p>
        </w:tc>
        <w:tc>
          <w:tcPr>
            <w:tcW w:w="315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4"/>
              </w:rPr>
            </w:pPr>
            <w:r>
              <w:rPr>
                <w:rFonts w:ascii="Tahoma" w:hAnsi="Tahoma"/>
                <w:b/>
                <w:color w:val="000000"/>
                <w:sz w:val="14"/>
              </w:rPr>
              <w:t>TOTALE A PAREGGIO</w:t>
            </w:r>
          </w:p>
        </w:tc>
        <w:tc>
          <w:tcPr>
            <w:tcW w:w="12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21.650.072,71</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49.538.057,34</w:t>
            </w:r>
          </w:p>
        </w:tc>
        <w:tc>
          <w:tcPr>
            <w:tcW w:w="318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4"/>
              </w:rPr>
            </w:pPr>
            <w:r>
              <w:rPr>
                <w:rFonts w:ascii="Tahoma" w:hAnsi="Tahoma"/>
                <w:b/>
                <w:color w:val="000000"/>
                <w:sz w:val="14"/>
              </w:rPr>
              <w:t>TOTALE A PAREGGIO</w:t>
            </w:r>
          </w:p>
        </w:tc>
        <w:tc>
          <w:tcPr>
            <w:tcW w:w="126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21.650.072,71</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49.538.057,34</w:t>
            </w:r>
          </w:p>
        </w:tc>
      </w:tr>
    </w:tbl>
    <w:p w:rsidR="00B42F56" w:rsidRDefault="00691D98">
      <w:pPr>
        <w:spacing w:before="540"/>
        <w:rPr>
          <w:rFonts w:ascii="Times New Roman" w:hAnsi="Times New Roman"/>
          <w:sz w:val="24"/>
        </w:rPr>
      </w:pPr>
      <w:r>
        <w:rPr>
          <w:noProof/>
        </w:rPr>
        <w:lastRenderedPageBreak/>
        <w:drawing>
          <wp:inline distT="0" distB="0" distL="0" distR="0">
            <wp:extent cx="7315200" cy="32099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315200" cy="3209925"/>
                    </a:xfrm>
                    <a:prstGeom prst="rect">
                      <a:avLst/>
                    </a:prstGeom>
                    <a:noFill/>
                  </pic:spPr>
                </pic:pic>
              </a:graphicData>
            </a:graphic>
          </wp:inline>
        </w:drawing>
      </w:r>
    </w:p>
    <w:p w:rsidR="00B42F56" w:rsidRDefault="00691D98">
      <w:pPr>
        <w:spacing w:before="525"/>
        <w:rPr>
          <w:rFonts w:ascii="Times New Roman" w:hAnsi="Times New Roman"/>
          <w:sz w:val="24"/>
        </w:rPr>
      </w:pPr>
      <w:r>
        <w:rPr>
          <w:noProof/>
        </w:rPr>
        <w:drawing>
          <wp:inline distT="0" distB="0" distL="0" distR="0">
            <wp:extent cx="7315200" cy="32099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315200" cy="3209925"/>
                    </a:xfrm>
                    <a:prstGeom prst="rect">
                      <a:avLst/>
                    </a:prstGeom>
                    <a:noFill/>
                  </pic:spPr>
                </pic:pic>
              </a:graphicData>
            </a:graphic>
          </wp:inline>
        </w:drawing>
      </w:r>
    </w:p>
    <w:p w:rsidR="00B42F56" w:rsidRDefault="00B42F56"/>
    <w:p w:rsidR="00B42F56" w:rsidRDefault="00B42F56">
      <w:pPr>
        <w:jc w:val="both"/>
      </w:pPr>
    </w:p>
    <w:tbl>
      <w:tblPr>
        <w:tblW w:w="0" w:type="auto"/>
        <w:tblCellMar>
          <w:left w:w="0" w:type="dxa"/>
          <w:right w:w="0" w:type="dxa"/>
        </w:tblCellMar>
        <w:tblLook w:val="04A0" w:firstRow="1" w:lastRow="0" w:firstColumn="1" w:lastColumn="0" w:noHBand="0" w:noVBand="1"/>
      </w:tblPr>
      <w:tblGrid>
        <w:gridCol w:w="15"/>
        <w:gridCol w:w="9000"/>
        <w:gridCol w:w="345"/>
        <w:gridCol w:w="2175"/>
      </w:tblGrid>
      <w:tr w:rsidR="00B42F56">
        <w:trPr>
          <w:trHeight w:hRule="exact" w:val="15"/>
        </w:trPr>
        <w:tc>
          <w:tcPr>
            <w:tcW w:w="15" w:type="dxa"/>
          </w:tcPr>
          <w:p w:rsidR="00B42F56" w:rsidRDefault="00B42F56">
            <w:pPr>
              <w:rPr>
                <w:rFonts w:ascii="Times New Roman" w:hAnsi="Times New Roman"/>
                <w:sz w:val="1"/>
              </w:rPr>
            </w:pPr>
          </w:p>
        </w:tc>
        <w:tc>
          <w:tcPr>
            <w:tcW w:w="11520" w:type="dxa"/>
            <w:gridSpan w:val="3"/>
          </w:tcPr>
          <w:p w:rsidR="00B42F56" w:rsidRDefault="00B42F56">
            <w:pPr>
              <w:rPr>
                <w:rFonts w:ascii="Times New Roman" w:hAnsi="Times New Roman"/>
                <w:sz w:val="1"/>
              </w:rPr>
            </w:pPr>
          </w:p>
        </w:tc>
      </w:tr>
      <w:tr w:rsidR="00B42F56">
        <w:trPr>
          <w:trHeight w:val="510"/>
        </w:trPr>
        <w:tc>
          <w:tcPr>
            <w:tcW w:w="15" w:type="dxa"/>
          </w:tcPr>
          <w:p w:rsidR="00B42F56" w:rsidRDefault="00B42F56">
            <w:pPr>
              <w:rPr>
                <w:rFonts w:ascii="Times New Roman" w:hAnsi="Times New Roman"/>
                <w:sz w:val="1"/>
              </w:rPr>
            </w:pPr>
          </w:p>
        </w:tc>
        <w:tc>
          <w:tcPr>
            <w:tcW w:w="11520" w:type="dxa"/>
            <w:gridSpan w:val="3"/>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right="28"/>
              <w:jc w:val="center"/>
              <w:rPr>
                <w:rFonts w:ascii="Tahoma" w:hAnsi="Tahoma"/>
                <w:b/>
                <w:color w:val="191970"/>
                <w:sz w:val="19"/>
              </w:rPr>
            </w:pPr>
            <w:r>
              <w:rPr>
                <w:rFonts w:ascii="Tahoma" w:hAnsi="Tahoma"/>
                <w:b/>
                <w:color w:val="191970"/>
                <w:sz w:val="19"/>
              </w:rPr>
              <w:t>EQUILIBRI DI BILANCIO</w:t>
            </w:r>
          </w:p>
        </w:tc>
      </w:tr>
      <w:tr w:rsidR="00B42F56">
        <w:trPr>
          <w:trHeight w:val="435"/>
        </w:trPr>
        <w:tc>
          <w:tcPr>
            <w:tcW w:w="15" w:type="dxa"/>
          </w:tcPr>
          <w:p w:rsidR="00B42F56" w:rsidRDefault="00B42F56">
            <w:pPr>
              <w:rPr>
                <w:rFonts w:ascii="Times New Roman" w:hAnsi="Times New Roman"/>
                <w:sz w:val="1"/>
              </w:rPr>
            </w:pPr>
          </w:p>
        </w:tc>
        <w:tc>
          <w:tcPr>
            <w:tcW w:w="9345" w:type="dxa"/>
            <w:gridSpan w:val="2"/>
            <w:tcBorders>
              <w:top w:val="single" w:sz="6" w:space="0" w:color="000000"/>
              <w:left w:val="single" w:sz="6" w:space="0" w:color="000000"/>
              <w:bottom w:val="single" w:sz="6" w:space="0" w:color="000000"/>
              <w:right w:val="single" w:sz="6" w:space="0" w:color="000000"/>
            </w:tcBorders>
            <w:vAlign w:val="center"/>
          </w:tcPr>
          <w:p w:rsidR="00B42F56" w:rsidRDefault="00691D98">
            <w:pPr>
              <w:ind w:left="28" w:right="28"/>
              <w:jc w:val="center"/>
              <w:rPr>
                <w:rFonts w:ascii="Tahoma" w:hAnsi="Tahoma"/>
                <w:b/>
                <w:color w:val="000000"/>
                <w:sz w:val="14"/>
              </w:rPr>
            </w:pPr>
            <w:r>
              <w:rPr>
                <w:rFonts w:ascii="Tahoma" w:hAnsi="Tahoma"/>
                <w:b/>
                <w:color w:val="000000"/>
                <w:sz w:val="14"/>
              </w:rPr>
              <w:t>EQUILIBRIO ECONOMICO - FINANZIARIO</w:t>
            </w:r>
          </w:p>
        </w:tc>
        <w:tc>
          <w:tcPr>
            <w:tcW w:w="217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28" w:right="28"/>
              <w:jc w:val="center"/>
              <w:rPr>
                <w:rFonts w:ascii="Tahoma" w:hAnsi="Tahoma"/>
                <w:b/>
                <w:color w:val="000000"/>
                <w:sz w:val="14"/>
              </w:rPr>
            </w:pPr>
            <w:r>
              <w:rPr>
                <w:rFonts w:ascii="Tahoma" w:hAnsi="Tahoma"/>
                <w:b/>
                <w:color w:val="000000"/>
                <w:sz w:val="14"/>
              </w:rPr>
              <w:t xml:space="preserve">COMPETENZA </w:t>
            </w:r>
            <w:r>
              <w:rPr>
                <w:rFonts w:ascii="Tahoma" w:hAnsi="Tahoma"/>
                <w:b/>
                <w:color w:val="000000"/>
                <w:sz w:val="14"/>
              </w:rPr>
              <w:br/>
              <w:t>(accertamenti e impegni)</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A) Fondo pluriennale vincolato per spese correnti iscritto in entrata</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114.324,43</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AA) Recupero disavanzo di amministrazione esercizio precedente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B) Entrate Titoli 1.00 - 2.00 - 3.00</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11.799.141,56</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144"/>
              <w:jc w:val="right"/>
              <w:rPr>
                <w:rFonts w:ascii="Tahoma" w:hAnsi="Tahoma"/>
                <w:i/>
                <w:color w:val="000000"/>
                <w:sz w:val="16"/>
              </w:rPr>
            </w:pPr>
            <w:r>
              <w:rPr>
                <w:rFonts w:ascii="Tahoma" w:hAnsi="Tahoma"/>
                <w:i/>
                <w:color w:val="000000"/>
                <w:sz w:val="16"/>
              </w:rPr>
              <w:t>0,00</w:t>
            </w:r>
          </w:p>
        </w:tc>
      </w:tr>
      <w:tr w:rsidR="00B42F56">
        <w:trPr>
          <w:trHeight w:val="45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D) Spese Titolo 1.00 -  Spese correnti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7.913.201,23</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144"/>
              <w:rPr>
                <w:rFonts w:ascii="Tahoma" w:hAnsi="Tahoma"/>
                <w:i/>
                <w:color w:val="000000"/>
                <w:sz w:val="16"/>
              </w:rPr>
            </w:pPr>
            <w:r>
              <w:rPr>
                <w:rFonts w:ascii="Tahoma" w:hAnsi="Tahoma"/>
                <w:i/>
                <w:color w:val="000000"/>
                <w:sz w:val="16"/>
              </w:rPr>
              <w:t>D1)  Fondo pluriennale vincolato di parte corrente (di spesa)</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144"/>
              <w:jc w:val="right"/>
              <w:rPr>
                <w:rFonts w:ascii="Tahoma" w:hAnsi="Tahoma"/>
                <w:i/>
                <w:color w:val="000000"/>
                <w:sz w:val="16"/>
              </w:rPr>
            </w:pPr>
            <w:r>
              <w:rPr>
                <w:rFonts w:ascii="Tahoma" w:hAnsi="Tahoma"/>
                <w:i/>
                <w:color w:val="000000"/>
                <w:sz w:val="16"/>
              </w:rPr>
              <w:t>130.401,50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E) Spese Titolo 2.04 -  Altri trasferimenti in conto capitale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E1) Fondo pluriennale vincolato di spesa - titolo 2.04  Altri trasferimenti in conto capitale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F1) Spese Titolo 4.00 -  Quote di capitale amm.to dei mutui e prestiti obbligazionari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B42F56" w:rsidRDefault="00691D98">
            <w:pPr>
              <w:ind w:right="144"/>
              <w:jc w:val="right"/>
              <w:rPr>
                <w:rFonts w:ascii="Tahoma" w:hAnsi="Tahoma"/>
                <w:i/>
                <w:color w:val="000000"/>
                <w:sz w:val="16"/>
              </w:rPr>
            </w:pPr>
            <w:r>
              <w:rPr>
                <w:rFonts w:ascii="Tahoma" w:hAnsi="Tahoma"/>
                <w:i/>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right="144"/>
              <w:rPr>
                <w:rFonts w:ascii="Tahoma" w:hAnsi="Tahoma"/>
                <w:i/>
                <w:color w:val="000000"/>
                <w:sz w:val="16"/>
              </w:rPr>
            </w:pPr>
            <w:r>
              <w:rPr>
                <w:rFonts w:ascii="Tahoma" w:hAnsi="Tahoma"/>
                <w:i/>
                <w:color w:val="000000"/>
                <w:sz w:val="16"/>
              </w:rPr>
              <w:t>F2) Fondo anticipazioni di liquidità</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144"/>
              <w:jc w:val="right"/>
              <w:rPr>
                <w:rFonts w:ascii="Tahoma" w:hAnsi="Tahoma"/>
                <w:i/>
                <w:color w:val="000000"/>
                <w:sz w:val="16"/>
              </w:rPr>
            </w:pPr>
            <w:r>
              <w:rPr>
                <w:rFonts w:ascii="Tahoma" w:hAnsi="Tahoma"/>
                <w:i/>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 xml:space="preserve"> G) Somma finale (G=A-AA+B+C-D-D1-D2-E-E1-F1-F2)</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3.869.863,26</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H) Utilizzo avanzo di amministrazione per spese correnti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285.614,58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B42F56" w:rsidRDefault="00691D98">
            <w:pPr>
              <w:ind w:right="144"/>
              <w:jc w:val="right"/>
              <w:rPr>
                <w:rFonts w:ascii="Tahoma" w:hAnsi="Tahoma"/>
                <w:i/>
                <w:color w:val="000000"/>
                <w:sz w:val="16"/>
              </w:rPr>
            </w:pPr>
            <w:r>
              <w:rPr>
                <w:rFonts w:ascii="Tahoma" w:hAnsi="Tahoma"/>
                <w:i/>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144"/>
              <w:rPr>
                <w:rFonts w:ascii="Tahoma" w:hAnsi="Tahoma"/>
                <w:i/>
                <w:color w:val="000000"/>
                <w:sz w:val="16"/>
              </w:rPr>
            </w:pPr>
            <w:r>
              <w:rPr>
                <w:rFonts w:ascii="Tahoma" w:hAnsi="Tahoma"/>
                <w:i/>
                <w:color w:val="000000"/>
                <w:sz w:val="16"/>
              </w:rPr>
              <w:t>di cui per estinzione anticipata di prestiti</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vAlign w:val="center"/>
          </w:tcPr>
          <w:p w:rsidR="00B42F56" w:rsidRDefault="00691D98">
            <w:pPr>
              <w:ind w:right="144"/>
              <w:jc w:val="right"/>
              <w:rPr>
                <w:rFonts w:ascii="Tahoma" w:hAnsi="Tahoma"/>
                <w:i/>
                <w:color w:val="000000"/>
                <w:sz w:val="16"/>
              </w:rPr>
            </w:pPr>
            <w:r>
              <w:rPr>
                <w:rFonts w:ascii="Tahoma" w:hAnsi="Tahoma"/>
                <w:i/>
                <w:color w:val="000000"/>
                <w:sz w:val="16"/>
              </w:rPr>
              <w:t>0,00</w:t>
            </w:r>
          </w:p>
        </w:tc>
      </w:tr>
      <w:tr w:rsidR="00B42F56">
        <w:trPr>
          <w:trHeight w:val="465"/>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M) Entrate da accensione di prestiti destinate a estinzione anticipata dei prestiti</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O1) RISULTATO DI COMPETENZA DI PARTE CORRENTE  ( O1=G+H+I-L+M)</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4.155.477,84</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 Risorse accantonate di parte corrente stanziate nel bilancio dell'esercizio N</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408.749,78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Risorse vincolate di parte corrente nel bilancio</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O2) EQUILIBRIO DI BILANCIO DI PARTE CORRENTE</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3.746.728,06</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Variazione accantonamenti di parte corrente effettuata in sede di rendiconto (+/-)</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-697.190,05</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O3) EQUILIBRIO COMPLESSIVO DI PARTE CORRENTE</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4.443.918,11</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P) Utilizzo avanzo di amministrazione per spese di investimento</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1.444.129,33</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Q) Fondo pluriennale vincolato per spese in conto capitale iscritto in entrata</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3.667.699,39</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R) Entrate Titoli 4.00-5.00-6.00</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3.182.462,68</w:t>
            </w:r>
          </w:p>
        </w:tc>
      </w:tr>
      <w:tr w:rsidR="00B42F56">
        <w:trPr>
          <w:trHeight w:val="465"/>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S1) Entrate Titolo 5.02 per Riscossione crediti di breve termine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S2) Entrate Titolo 5.03 per Riscossione crediti di medio-lungo termine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T) Entrate Titolo 5.04 relative a Altre entrate per riduzioni di attività  finanziaria</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465"/>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M) Entrate da accensione di prestiti destinate a estinzione anticipata dei prestiti</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U) Spese Titolo 2.00 - Spese in conto capitale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1.389.911,53</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U1)  Fondo pluriennale vincolato in c/capitale (di spesa)</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3.392.619,78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V) Spese Titolo 3.01 per Acquisizioni di attività  finanziarie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E) Spese Titolo 2.04 -  Altri trasferimenti in conto capitale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Z1) RISULTATO DI COMPETENZA IN C/CAPITALE  (Z1=P+Q+R-C-I-S1-S2-T+L-M-U-U1-U2-V+E)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3.511.760,09</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 Risorse accantonate  in c/capitale stanziate nel bilancio dell'esercizio N</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Risorse vincolate in c/capitale nel bilancio</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Z/2) EQUILIBRIO DI BILANCIO IN C/CAPITALE</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3.511.760,09</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Variazione accantonamenti in c/capitale effettuata in sede di rendiconto (+/-)</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Z3) EQUILIBRIO COMPLESSIVO IN CAPITALE</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3.511.760,09</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S1) Entrate Titolo 5.02 per Riscossione crediti di breve termine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S2) Entrate Titolo 5.03 per Riscossione crediti di medio-lungo termine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T) Entrate Titolo 5.04 relative a Altre entrate per riduzioni di attività  finanziaria</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X1) Spese Titolo 3.02 per Concessione crediti di breve termine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X2) Spese Titolo 3.03 per Concessione crediti di medio-lungo termine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Y) Spese Titolo 3.04 per Altre spese per acquisizioni di attività  finanziarie</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W1) RISULTATO DI COMPETENZA           (W/1 = O1+Z1+S1+S2+T-X1-X2-Y)</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7.667.237,93</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 Risorse accantonate stanziate nel bilancio dell'esercizio N</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408.749,78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Risorse vincolate nel bilancio</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W2/EQUILIBRIO DI BILANCIO</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7.258.488,15</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Variazione accantonamenti effettuata in sede di rendiconto</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-697.190,05</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W3/EQUILIBRIO COMPLESSIVO</w:t>
            </w:r>
          </w:p>
        </w:tc>
        <w:tc>
          <w:tcPr>
            <w:tcW w:w="345"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F0F8FF"/>
            <w:vAlign w:val="center"/>
          </w:tcPr>
          <w:p w:rsidR="00B42F56" w:rsidRDefault="00691D98">
            <w:pPr>
              <w:ind w:right="72"/>
              <w:jc w:val="right"/>
              <w:rPr>
                <w:rFonts w:ascii="Tahoma" w:hAnsi="Tahoma"/>
                <w:b/>
                <w:color w:val="191970"/>
                <w:sz w:val="14"/>
              </w:rPr>
            </w:pPr>
            <w:r>
              <w:rPr>
                <w:rFonts w:ascii="Tahoma" w:hAnsi="Tahoma"/>
                <w:b/>
                <w:color w:val="191970"/>
                <w:sz w:val="14"/>
              </w:rPr>
              <w:t>7.955.678,20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O1) Risultato di competenza di parte corrente</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4.155.477,84</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Utilizzo risultato di amministrazione per il finanziamento di spese correnti (H)</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285.614,58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Entrate non ricorrenti che non hanno dato copertura a impegni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 Risorse accantonate di parte corrente stanziate nel bilancio dell'esercizio N (1)</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408.749,78</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color w:val="000000"/>
                <w:sz w:val="16"/>
              </w:rPr>
            </w:pPr>
            <w:r>
              <w:rPr>
                <w:rFonts w:ascii="Tahoma" w:hAnsi="Tahoma"/>
                <w:color w:val="000000"/>
                <w:sz w:val="16"/>
              </w:rPr>
              <w:t>- Variazione accantonamenti di parte corrente effettuata in sede di rendiconto (+/-) (2)</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-697.190,05</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ight="72"/>
              <w:rPr>
                <w:rFonts w:ascii="Tahoma" w:hAnsi="Tahoma"/>
                <w:color w:val="000000"/>
                <w:sz w:val="16"/>
              </w:rPr>
            </w:pPr>
            <w:r>
              <w:rPr>
                <w:rFonts w:ascii="Tahoma" w:hAnsi="Tahoma"/>
                <w:color w:val="000000"/>
                <w:sz w:val="16"/>
              </w:rPr>
              <w:t>- Risorse vincolate di parte corrente nel bilancio (3)</w:t>
            </w:r>
          </w:p>
        </w:tc>
        <w:tc>
          <w:tcPr>
            <w:tcW w:w="34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w:t>
            </w:r>
          </w:p>
        </w:tc>
        <w:tc>
          <w:tcPr>
            <w:tcW w:w="217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15" w:type="dxa"/>
          </w:tcPr>
          <w:p w:rsidR="00B42F56" w:rsidRDefault="00B42F56">
            <w:pPr>
              <w:rPr>
                <w:rFonts w:ascii="Times New Roman" w:hAnsi="Times New Roman"/>
                <w:sz w:val="1"/>
              </w:rPr>
            </w:pPr>
          </w:p>
        </w:tc>
        <w:tc>
          <w:tcPr>
            <w:tcW w:w="90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ight="72"/>
              <w:rPr>
                <w:rFonts w:ascii="Tahoma" w:hAnsi="Tahoma"/>
                <w:b/>
                <w:color w:val="000000"/>
                <w:sz w:val="14"/>
              </w:rPr>
            </w:pPr>
            <w:r>
              <w:rPr>
                <w:rFonts w:ascii="Tahoma" w:hAnsi="Tahoma"/>
                <w:b/>
                <w:color w:val="000000"/>
                <w:sz w:val="14"/>
              </w:rPr>
              <w:t>Equilibrio di parte corrente ai fini della copertura degli investimenti pluriennali</w:t>
            </w:r>
          </w:p>
        </w:tc>
        <w:tc>
          <w:tcPr>
            <w:tcW w:w="345"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217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4"/>
              </w:rPr>
            </w:pPr>
            <w:r>
              <w:rPr>
                <w:rFonts w:ascii="Tahoma" w:hAnsi="Tahoma"/>
                <w:b/>
                <w:color w:val="000000"/>
                <w:sz w:val="14"/>
              </w:rPr>
              <w:t>4.158.303,53</w:t>
            </w:r>
          </w:p>
        </w:tc>
      </w:tr>
    </w:tbl>
    <w:p w:rsidR="00B42F56" w:rsidRDefault="00B42F56">
      <w:pPr>
        <w:rPr>
          <w:rFonts w:ascii="Times New Roman" w:hAnsi="Times New Roman"/>
          <w:sz w:val="24"/>
        </w:rPr>
      </w:pPr>
    </w:p>
    <w:p w:rsidR="00B42F56" w:rsidRDefault="00B42F56">
      <w:pPr>
        <w:rPr>
          <w:color w:val="FF0000"/>
        </w:rPr>
      </w:pPr>
    </w:p>
    <w:p w:rsidR="00B42F56" w:rsidRDefault="00B42F56">
      <w:pPr>
        <w:jc w:val="center"/>
      </w:pPr>
    </w:p>
    <w:p w:rsidR="00B06510" w:rsidRDefault="0060143A" w:rsidP="00887023">
      <w:r>
        <w:t>Per quanto riguarda la spese si  evince  la buona capacita dell’ente di smaltire i propri impegni in corso di esercizio circa  l</w:t>
      </w:r>
      <w:r w:rsidR="008E1BC7">
        <w:t>’</w:t>
      </w:r>
      <w:r>
        <w:t xml:space="preserve"> 80% per quanto rig</w:t>
      </w:r>
      <w:r w:rsidR="008E1BC7">
        <w:t>uarda  le spese correnti e c</w:t>
      </w:r>
      <w:r>
        <w:t xml:space="preserve"> il 52% per la spesa in conto capitale  che evidenzia  anche  la costituzione di un fondo pluriennale vincolato di  3.392.619,78  ,detto fondo   consente di spostare la spesa all’esercizio in cui si presume    che l’obbligazione giuridica   assunta nell’esercizio  finanziario  produca i suoi effetti .</w:t>
      </w:r>
    </w:p>
    <w:p w:rsidR="00B06510" w:rsidRDefault="00B06510">
      <w:pPr>
        <w:jc w:val="center"/>
      </w:pPr>
    </w:p>
    <w:p w:rsidR="006742C4" w:rsidRDefault="006742C4">
      <w:pPr>
        <w:jc w:val="center"/>
      </w:pPr>
    </w:p>
    <w:p w:rsidR="006742C4" w:rsidRDefault="006742C4">
      <w:pPr>
        <w:jc w:val="center"/>
      </w:pPr>
    </w:p>
    <w:p w:rsidR="006742C4" w:rsidRDefault="006742C4">
      <w:pPr>
        <w:jc w:val="center"/>
      </w:pPr>
    </w:p>
    <w:p w:rsidR="006742C4" w:rsidRDefault="006742C4">
      <w:pPr>
        <w:jc w:val="center"/>
      </w:pPr>
    </w:p>
    <w:p w:rsidR="00091AF2" w:rsidRDefault="00091AF2">
      <w:pPr>
        <w:jc w:val="center"/>
      </w:pPr>
    </w:p>
    <w:p w:rsidR="00091AF2" w:rsidRDefault="00091AF2">
      <w:pPr>
        <w:jc w:val="center"/>
      </w:pPr>
    </w:p>
    <w:p w:rsidR="00B42F56" w:rsidRDefault="00B42F56">
      <w:pPr>
        <w:jc w:val="both"/>
      </w:pPr>
    </w:p>
    <w:p w:rsidR="00B42F56" w:rsidRDefault="00691D98">
      <w:pPr>
        <w:jc w:val="both"/>
      </w:pPr>
      <w:r>
        <w:t>.</w:t>
      </w:r>
    </w:p>
    <w:p w:rsidR="00B42F56" w:rsidRDefault="00B42F56">
      <w:pPr>
        <w:jc w:val="both"/>
      </w:pPr>
    </w:p>
    <w:tbl>
      <w:tblPr>
        <w:tblW w:w="0" w:type="auto"/>
        <w:tblCellMar>
          <w:left w:w="0" w:type="dxa"/>
          <w:right w:w="0" w:type="dxa"/>
        </w:tblCellMar>
        <w:tblLook w:val="04A0" w:firstRow="1" w:lastRow="0" w:firstColumn="1" w:lastColumn="0" w:noHBand="0" w:noVBand="1"/>
      </w:tblPr>
      <w:tblGrid>
        <w:gridCol w:w="15"/>
        <w:gridCol w:w="4320"/>
        <w:gridCol w:w="1500"/>
        <w:gridCol w:w="1500"/>
        <w:gridCol w:w="585"/>
        <w:gridCol w:w="1500"/>
        <w:gridCol w:w="585"/>
        <w:gridCol w:w="1500"/>
      </w:tblGrid>
      <w:tr w:rsidR="00B42F56">
        <w:trPr>
          <w:trHeight w:hRule="exact" w:val="15"/>
        </w:trPr>
        <w:tc>
          <w:tcPr>
            <w:tcW w:w="15" w:type="dxa"/>
          </w:tcPr>
          <w:p w:rsidR="00B42F56" w:rsidRDefault="00B42F56">
            <w:pPr>
              <w:rPr>
                <w:rFonts w:ascii="Times New Roman" w:hAnsi="Times New Roman"/>
                <w:sz w:val="1"/>
              </w:rPr>
            </w:pPr>
          </w:p>
        </w:tc>
        <w:tc>
          <w:tcPr>
            <w:tcW w:w="11490" w:type="dxa"/>
            <w:gridSpan w:val="7"/>
          </w:tcPr>
          <w:p w:rsidR="00B42F56" w:rsidRDefault="00B42F56">
            <w:pPr>
              <w:rPr>
                <w:rFonts w:ascii="Times New Roman" w:hAnsi="Times New Roman"/>
                <w:sz w:val="1"/>
              </w:rPr>
            </w:pPr>
          </w:p>
        </w:tc>
      </w:tr>
      <w:tr w:rsidR="00B42F56">
        <w:trPr>
          <w:trHeight w:val="525"/>
        </w:trPr>
        <w:tc>
          <w:tcPr>
            <w:tcW w:w="15" w:type="dxa"/>
          </w:tcPr>
          <w:p w:rsidR="00B42F56" w:rsidRDefault="00B42F56">
            <w:pPr>
              <w:rPr>
                <w:rFonts w:ascii="Times New Roman" w:hAnsi="Times New Roman"/>
                <w:sz w:val="1"/>
              </w:rPr>
            </w:pPr>
          </w:p>
        </w:tc>
        <w:tc>
          <w:tcPr>
            <w:tcW w:w="11490"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Riepilogo Titoli SPESE</w:t>
            </w:r>
          </w:p>
        </w:tc>
      </w:tr>
      <w:tr w:rsidR="00B42F56">
        <w:trPr>
          <w:trHeight w:val="360"/>
        </w:trPr>
        <w:tc>
          <w:tcPr>
            <w:tcW w:w="15" w:type="dxa"/>
          </w:tcPr>
          <w:p w:rsidR="00B42F56" w:rsidRDefault="00B42F56">
            <w:pPr>
              <w:rPr>
                <w:rFonts w:ascii="Times New Roman" w:hAnsi="Times New Roman"/>
                <w:sz w:val="1"/>
              </w:rPr>
            </w:pPr>
          </w:p>
        </w:tc>
        <w:tc>
          <w:tcPr>
            <w:tcW w:w="4320" w:type="dxa"/>
            <w:vMerge w:val="restart"/>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proofErr w:type="spellStart"/>
            <w:r>
              <w:rPr>
                <w:rFonts w:ascii="Tahoma" w:hAnsi="Tahoma"/>
                <w:b/>
                <w:color w:val="000000"/>
                <w:sz w:val="16"/>
              </w:rPr>
              <w:t>Macroaggregato</w:t>
            </w:r>
            <w:proofErr w:type="spellEnd"/>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Impegnato</w:t>
            </w:r>
          </w:p>
        </w:tc>
        <w:tc>
          <w:tcPr>
            <w:tcW w:w="208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Pagato</w:t>
            </w:r>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spacing w:before="72" w:after="72"/>
              <w:ind w:left="72" w:right="72"/>
              <w:jc w:val="center"/>
              <w:rPr>
                <w:rFonts w:ascii="Tahoma" w:hAnsi="Tahoma"/>
                <w:b/>
                <w:color w:val="000000"/>
                <w:sz w:val="16"/>
              </w:rPr>
            </w:pPr>
            <w:r>
              <w:rPr>
                <w:rFonts w:ascii="Tahoma" w:hAnsi="Tahoma"/>
                <w:b/>
                <w:color w:val="000000"/>
                <w:sz w:val="16"/>
              </w:rPr>
              <w:t>Residui passivi</w:t>
            </w:r>
          </w:p>
        </w:tc>
      </w:tr>
      <w:tr w:rsidR="00B42F56">
        <w:trPr>
          <w:trHeight w:val="360"/>
        </w:trPr>
        <w:tc>
          <w:tcPr>
            <w:tcW w:w="15" w:type="dxa"/>
          </w:tcPr>
          <w:p w:rsidR="00B42F56" w:rsidRDefault="00B42F56">
            <w:pPr>
              <w:rPr>
                <w:rFonts w:ascii="Times New Roman" w:hAnsi="Times New Roman"/>
                <w:sz w:val="1"/>
              </w:rPr>
            </w:pPr>
          </w:p>
        </w:tc>
        <w:tc>
          <w:tcPr>
            <w:tcW w:w="4320" w:type="dxa"/>
            <w:vMerge/>
            <w:tcBorders>
              <w:top w:val="single" w:sz="6" w:space="0" w:color="000000"/>
              <w:left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Impegni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00"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Mandati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 Spese correnti</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12.107.621,19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7.913.201,23</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66,07</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6.379.611,96</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80,62</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1.533.589,27</w:t>
            </w:r>
          </w:p>
        </w:tc>
      </w:tr>
      <w:tr w:rsidR="00B42F56">
        <w:trPr>
          <w:trHeight w:val="240"/>
        </w:trPr>
        <w:tc>
          <w:tcPr>
            <w:tcW w:w="15" w:type="dxa"/>
          </w:tcPr>
          <w:p w:rsidR="00B42F56" w:rsidRDefault="00B42F56">
            <w:pPr>
              <w:rPr>
                <w:rFonts w:ascii="Times New Roman" w:hAnsi="Times New Roman"/>
                <w:sz w:val="1"/>
              </w:rPr>
            </w:pPr>
          </w:p>
        </w:tc>
        <w:tc>
          <w:tcPr>
            <w:tcW w:w="432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130.401,50</w:t>
            </w:r>
          </w:p>
        </w:tc>
        <w:tc>
          <w:tcPr>
            <w:tcW w:w="1500" w:type="dxa"/>
            <w:tcBorders>
              <w:bottom w:val="single" w:sz="6" w:space="0" w:color="000000"/>
              <w:right w:val="single" w:sz="6" w:space="0" w:color="000000"/>
            </w:tcBorders>
            <w:vAlign w:val="center"/>
          </w:tcPr>
          <w:p w:rsidR="00B42F56" w:rsidRDefault="00B42F56">
            <w:pPr>
              <w:ind w:right="43"/>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43"/>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43"/>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43"/>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2. Spese in conto capitale</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9.965.629,07</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1.389.911,53</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21,15</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734.695,66</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52,86</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655.215,87</w:t>
            </w:r>
          </w:p>
        </w:tc>
      </w:tr>
      <w:tr w:rsidR="00B42F56">
        <w:trPr>
          <w:trHeight w:val="225"/>
        </w:trPr>
        <w:tc>
          <w:tcPr>
            <w:tcW w:w="15" w:type="dxa"/>
          </w:tcPr>
          <w:p w:rsidR="00B42F56" w:rsidRDefault="00B42F56">
            <w:pPr>
              <w:rPr>
                <w:rFonts w:ascii="Times New Roman" w:hAnsi="Times New Roman"/>
                <w:sz w:val="1"/>
              </w:rPr>
            </w:pPr>
          </w:p>
        </w:tc>
        <w:tc>
          <w:tcPr>
            <w:tcW w:w="432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3.392.619,78</w:t>
            </w:r>
          </w:p>
        </w:tc>
        <w:tc>
          <w:tcPr>
            <w:tcW w:w="1500" w:type="dxa"/>
            <w:tcBorders>
              <w:bottom w:val="single" w:sz="6" w:space="0" w:color="000000"/>
              <w:right w:val="single" w:sz="6" w:space="0" w:color="000000"/>
            </w:tcBorders>
            <w:shd w:val="clear" w:color="auto" w:fill="E6E6FA"/>
            <w:vAlign w:val="center"/>
          </w:tcPr>
          <w:p w:rsidR="00B42F56" w:rsidRDefault="00B42F56">
            <w:pPr>
              <w:ind w:right="43"/>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43"/>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ind w:right="43"/>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43"/>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7. Uscite per conto terzi e partite di giro</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1.771.500,00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1.156.700,74</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65,29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1.149.163,16</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99,35</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7.537,58</w:t>
            </w:r>
          </w:p>
        </w:tc>
      </w:tr>
      <w:tr w:rsidR="00B42F56">
        <w:trPr>
          <w:trHeight w:val="300"/>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23.844.750,26</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10.459.813,50</w:t>
            </w:r>
          </w:p>
        </w:tc>
        <w:tc>
          <w:tcPr>
            <w:tcW w:w="58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51,47</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8.263.470,78</w:t>
            </w:r>
          </w:p>
        </w:tc>
        <w:tc>
          <w:tcPr>
            <w:tcW w:w="585" w:type="dxa"/>
            <w:tcBorders>
              <w:top w:val="single" w:sz="6" w:space="0" w:color="000000"/>
              <w:bottom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79,00</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2.196.342,72</w:t>
            </w:r>
          </w:p>
        </w:tc>
      </w:tr>
    </w:tbl>
    <w:p w:rsidR="00B42F56" w:rsidRDefault="00691D98">
      <w:pPr>
        <w:spacing w:before="300"/>
        <w:ind w:left="15"/>
        <w:rPr>
          <w:rFonts w:ascii="Times New Roman" w:hAnsi="Times New Roman"/>
          <w:sz w:val="24"/>
        </w:rPr>
      </w:pPr>
      <w:r>
        <w:rPr>
          <w:noProof/>
        </w:rPr>
        <w:drawing>
          <wp:inline distT="0" distB="0" distL="0" distR="0">
            <wp:extent cx="7296150" cy="31908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296150" cy="3190875"/>
                    </a:xfrm>
                    <a:prstGeom prst="rect">
                      <a:avLst/>
                    </a:prstGeom>
                    <a:noFill/>
                  </pic:spPr>
                </pic:pic>
              </a:graphicData>
            </a:graphic>
          </wp:inline>
        </w:drawing>
      </w:r>
    </w:p>
    <w:p w:rsidR="00B42F56" w:rsidRDefault="00B42F56">
      <w:pPr>
        <w:rPr>
          <w:color w:val="FF0000"/>
        </w:rPr>
      </w:pPr>
    </w:p>
    <w:p w:rsidR="00B42F56" w:rsidRDefault="00B42F56">
      <w:pPr>
        <w:rPr>
          <w:color w:val="FF0000"/>
        </w:rPr>
      </w:pPr>
    </w:p>
    <w:tbl>
      <w:tblPr>
        <w:tblW w:w="0" w:type="auto"/>
        <w:tblCellMar>
          <w:left w:w="0" w:type="dxa"/>
          <w:right w:w="0" w:type="dxa"/>
        </w:tblCellMar>
        <w:tblLook w:val="04A0" w:firstRow="1" w:lastRow="0" w:firstColumn="1" w:lastColumn="0" w:noHBand="0" w:noVBand="1"/>
      </w:tblPr>
      <w:tblGrid>
        <w:gridCol w:w="15"/>
        <w:gridCol w:w="4290"/>
        <w:gridCol w:w="1500"/>
        <w:gridCol w:w="1500"/>
        <w:gridCol w:w="585"/>
        <w:gridCol w:w="1515"/>
        <w:gridCol w:w="585"/>
        <w:gridCol w:w="1500"/>
      </w:tblGrid>
      <w:tr w:rsidR="00B42F56">
        <w:trPr>
          <w:trHeight w:hRule="exact" w:val="15"/>
        </w:trPr>
        <w:tc>
          <w:tcPr>
            <w:tcW w:w="15" w:type="dxa"/>
          </w:tcPr>
          <w:p w:rsidR="00B42F56" w:rsidRDefault="00B42F56">
            <w:pPr>
              <w:rPr>
                <w:rFonts w:ascii="Times New Roman" w:hAnsi="Times New Roman"/>
                <w:sz w:val="1"/>
              </w:rPr>
            </w:pPr>
          </w:p>
        </w:tc>
        <w:tc>
          <w:tcPr>
            <w:tcW w:w="11475" w:type="dxa"/>
            <w:gridSpan w:val="7"/>
          </w:tcPr>
          <w:p w:rsidR="00B42F56" w:rsidRDefault="00B42F56">
            <w:pPr>
              <w:rPr>
                <w:rFonts w:ascii="Times New Roman" w:hAnsi="Times New Roman"/>
                <w:sz w:val="1"/>
              </w:rPr>
            </w:pPr>
          </w:p>
        </w:tc>
      </w:tr>
      <w:tr w:rsidR="00B42F56">
        <w:trPr>
          <w:trHeight w:val="525"/>
        </w:trPr>
        <w:tc>
          <w:tcPr>
            <w:tcW w:w="15" w:type="dxa"/>
          </w:tcPr>
          <w:p w:rsidR="00B42F56" w:rsidRDefault="00B42F56">
            <w:pPr>
              <w:rPr>
                <w:rFonts w:ascii="Times New Roman" w:hAnsi="Times New Roman"/>
                <w:sz w:val="1"/>
              </w:rPr>
            </w:pPr>
          </w:p>
        </w:tc>
        <w:tc>
          <w:tcPr>
            <w:tcW w:w="1147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Riepilogo missioni</w:t>
            </w:r>
          </w:p>
        </w:tc>
      </w:tr>
      <w:tr w:rsidR="00B42F56">
        <w:trPr>
          <w:trHeight w:val="360"/>
        </w:trPr>
        <w:tc>
          <w:tcPr>
            <w:tcW w:w="15" w:type="dxa"/>
          </w:tcPr>
          <w:p w:rsidR="00B42F56" w:rsidRDefault="00B42F56">
            <w:pPr>
              <w:rPr>
                <w:rFonts w:ascii="Times New Roman" w:hAnsi="Times New Roman"/>
                <w:sz w:val="1"/>
              </w:rPr>
            </w:pPr>
          </w:p>
        </w:tc>
        <w:tc>
          <w:tcPr>
            <w:tcW w:w="4290" w:type="dxa"/>
            <w:vMerge w:val="restart"/>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Missione</w:t>
            </w:r>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Impegnato</w:t>
            </w:r>
          </w:p>
        </w:tc>
        <w:tc>
          <w:tcPr>
            <w:tcW w:w="2100"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Pagato</w:t>
            </w:r>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spacing w:before="72" w:after="72"/>
              <w:ind w:left="72" w:right="72"/>
              <w:jc w:val="center"/>
              <w:rPr>
                <w:rFonts w:ascii="Tahoma" w:hAnsi="Tahoma"/>
                <w:b/>
                <w:color w:val="000000"/>
                <w:sz w:val="16"/>
              </w:rPr>
            </w:pPr>
            <w:r>
              <w:rPr>
                <w:rFonts w:ascii="Tahoma" w:hAnsi="Tahoma"/>
                <w:b/>
                <w:color w:val="000000"/>
                <w:sz w:val="16"/>
              </w:rPr>
              <w:t>Residui passivi</w:t>
            </w:r>
          </w:p>
        </w:tc>
      </w:tr>
      <w:tr w:rsidR="00B42F56">
        <w:trPr>
          <w:trHeight w:val="360"/>
        </w:trPr>
        <w:tc>
          <w:tcPr>
            <w:tcW w:w="15" w:type="dxa"/>
          </w:tcPr>
          <w:p w:rsidR="00B42F56" w:rsidRDefault="00B42F56">
            <w:pPr>
              <w:rPr>
                <w:rFonts w:ascii="Times New Roman" w:hAnsi="Times New Roman"/>
                <w:sz w:val="1"/>
              </w:rPr>
            </w:pPr>
          </w:p>
        </w:tc>
        <w:tc>
          <w:tcPr>
            <w:tcW w:w="4290" w:type="dxa"/>
            <w:vMerge/>
            <w:tcBorders>
              <w:top w:val="single" w:sz="6" w:space="0" w:color="000000"/>
              <w:left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Impegni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1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Pagamenti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01 Servizi istituzionali, generali e di gestione</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3.119.419,74</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2.107.306,29</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70,81</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1.718.063,71</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81,53</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389.242,58</w:t>
            </w:r>
          </w:p>
        </w:tc>
      </w:tr>
      <w:tr w:rsidR="00B42F56">
        <w:trPr>
          <w:trHeight w:val="255"/>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143.342,00</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03 Ordine pubblico e sicurezza</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329.245,12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261.610,15</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85,64</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212.211,59</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81,12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49.398,56</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23.755,17</w:t>
            </w: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04 Istruzione e diritto allo studio</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775.768,49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493.076,64</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76,88</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287.371,29</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58,28</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205.705,35</w:t>
            </w:r>
          </w:p>
        </w:tc>
      </w:tr>
      <w:tr w:rsidR="00B42F56">
        <w:trPr>
          <w:trHeight w:val="255"/>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134.417,32</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 xml:space="preserve">05 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289.273,00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212.767,76</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73,55</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195.097,91</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91,70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17.669,85</w:t>
            </w: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06 Politiche giovanili, sport e tempo libero</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2.294.566,10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664.133,89</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40,26</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396.415,21</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59,69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267.718,68</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644.798,46</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00"/>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07 Turismo</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2.009.562,18</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28.395,85</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1,58</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25.760,00</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90,72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2.635,85</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217.632,25</w:t>
            </w: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08 Assetto del territorio ed edilizia abitativa</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168.373,23</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15.939,33</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11,07</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11.695,25</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73,37</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4.244,08</w:t>
            </w:r>
          </w:p>
        </w:tc>
      </w:tr>
      <w:tr w:rsidR="00B42F56">
        <w:trPr>
          <w:trHeight w:val="255"/>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24.411,71</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420"/>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09 Sviluppo sostenibile e tutela del territorio e dell'ambiente</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3.615.193,47</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1.798.752,10</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78,64</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1.438.191,18</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79,95</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360.560,92</w:t>
            </w:r>
          </w:p>
        </w:tc>
      </w:tr>
      <w:tr w:rsidR="00B42F56">
        <w:trPr>
          <w:trHeight w:val="255"/>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1.327.826,76</w:t>
            </w: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 xml:space="preserve">10 Trasporti e diritto alla </w:t>
            </w:r>
            <w:proofErr w:type="spellStart"/>
            <w:r>
              <w:rPr>
                <w:rFonts w:ascii="Tahoma" w:hAnsi="Tahoma"/>
                <w:color w:val="000000"/>
                <w:sz w:val="16"/>
              </w:rPr>
              <w:t>mobilita'</w:t>
            </w:r>
            <w:proofErr w:type="spellEnd"/>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2.984.470,39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764.181,07</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28,78</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640.445,64</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83,81</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123.735,43</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328.819,41</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00"/>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11 Soccorso civile</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944.722,76</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183.699,61</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68,27</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92.996,53</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50,62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90.703,08</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675.660,29</w:t>
            </w: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6"/>
              </w:rPr>
            </w:pP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12 Diritti sociali, politiche sociali e famiglia</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4.798.339,00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2.561.677,27</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53,41</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2.036.964,93</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79,52</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524.712,34</w:t>
            </w:r>
          </w:p>
        </w:tc>
      </w:tr>
      <w:tr w:rsidR="00B42F56">
        <w:trPr>
          <w:trHeight w:val="240"/>
        </w:trPr>
        <w:tc>
          <w:tcPr>
            <w:tcW w:w="15" w:type="dxa"/>
          </w:tcPr>
          <w:p w:rsidR="00B42F56" w:rsidRDefault="00B42F56">
            <w:pPr>
              <w:rPr>
                <w:rFonts w:ascii="Times New Roman" w:hAnsi="Times New Roman"/>
                <w:sz w:val="1"/>
              </w:rPr>
            </w:pPr>
          </w:p>
        </w:tc>
        <w:tc>
          <w:tcPr>
            <w:tcW w:w="4290" w:type="dxa"/>
            <w:tcBorders>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i/>
                <w:color w:val="000000"/>
                <w:sz w:val="16"/>
              </w:rPr>
            </w:pPr>
            <w:r>
              <w:rPr>
                <w:rFonts w:ascii="Tahoma" w:hAnsi="Tahoma"/>
                <w:i/>
                <w:color w:val="000000"/>
                <w:sz w:val="16"/>
              </w:rPr>
              <w:t>di cui fondo pluriennale vincolato</w:t>
            </w:r>
          </w:p>
        </w:tc>
        <w:tc>
          <w:tcPr>
            <w:tcW w:w="150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2.357,91</w:t>
            </w: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jc w:val="center"/>
              <w:rPr>
                <w:rFonts w:ascii="Tahoma" w:hAnsi="Tahoma"/>
                <w:color w:val="000000"/>
                <w:sz w:val="16"/>
              </w:rPr>
            </w:pPr>
          </w:p>
        </w:tc>
        <w:tc>
          <w:tcPr>
            <w:tcW w:w="151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585"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c>
          <w:tcPr>
            <w:tcW w:w="1500" w:type="dxa"/>
            <w:tcBorders>
              <w:bottom w:val="single" w:sz="6" w:space="0" w:color="000000"/>
              <w:right w:val="single" w:sz="6" w:space="0" w:color="000000"/>
            </w:tcBorders>
            <w:vAlign w:val="center"/>
          </w:tcPr>
          <w:p w:rsidR="00B42F56" w:rsidRDefault="00B42F56">
            <w:pPr>
              <w:ind w:right="72"/>
              <w:jc w:val="right"/>
              <w:rPr>
                <w:rFonts w:ascii="Tahoma" w:hAnsi="Tahoma"/>
                <w:color w:val="000000"/>
                <w:sz w:val="16"/>
              </w:rPr>
            </w:pPr>
          </w:p>
        </w:tc>
      </w:tr>
      <w:tr w:rsidR="00B42F56">
        <w:trPr>
          <w:trHeight w:val="300"/>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 xml:space="preserve">14 Sviluppo economico e </w:t>
            </w:r>
            <w:proofErr w:type="spellStart"/>
            <w:r>
              <w:rPr>
                <w:rFonts w:ascii="Tahoma" w:hAnsi="Tahoma"/>
                <w:color w:val="000000"/>
                <w:sz w:val="16"/>
              </w:rPr>
              <w:t>competitivita'</w:t>
            </w:r>
            <w:proofErr w:type="spellEnd"/>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239.286,00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211.572,80</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88,42</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59.094,38</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27,93</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152.478,42</w:t>
            </w: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16 Agricoltura, politiche agroalimentari e pesca</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28.514,00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20 Fondi e accantonamenti</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476.516,78</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0,00</w:t>
            </w:r>
          </w:p>
        </w:tc>
        <w:tc>
          <w:tcPr>
            <w:tcW w:w="1515"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99 Servizi per conto terzi</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1.771.500,00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1.156.700,74</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65,29</w:t>
            </w:r>
          </w:p>
        </w:tc>
        <w:tc>
          <w:tcPr>
            <w:tcW w:w="1515"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1.149.163,16</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99,35</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7.537,58</w:t>
            </w:r>
          </w:p>
        </w:tc>
      </w:tr>
      <w:tr w:rsidR="00B42F56">
        <w:trPr>
          <w:trHeight w:val="285"/>
        </w:trPr>
        <w:tc>
          <w:tcPr>
            <w:tcW w:w="15" w:type="dxa"/>
          </w:tcPr>
          <w:p w:rsidR="00B42F56" w:rsidRDefault="00B42F56">
            <w:pPr>
              <w:rPr>
                <w:rFonts w:ascii="Times New Roman" w:hAnsi="Times New Roman"/>
                <w:sz w:val="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23.844.750,26</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10.459.813,50</w:t>
            </w:r>
          </w:p>
        </w:tc>
        <w:tc>
          <w:tcPr>
            <w:tcW w:w="58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51,47</w:t>
            </w:r>
          </w:p>
        </w:tc>
        <w:tc>
          <w:tcPr>
            <w:tcW w:w="151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8.263.470,78</w:t>
            </w:r>
          </w:p>
        </w:tc>
        <w:tc>
          <w:tcPr>
            <w:tcW w:w="585" w:type="dxa"/>
            <w:tcBorders>
              <w:top w:val="single" w:sz="6" w:space="0" w:color="000000"/>
              <w:bottom w:val="single" w:sz="6" w:space="0" w:color="000000"/>
              <w:right w:val="single" w:sz="6" w:space="0" w:color="000000"/>
            </w:tcBorders>
            <w:vAlign w:val="center"/>
          </w:tcPr>
          <w:p w:rsidR="00B42F56" w:rsidRDefault="00691D98">
            <w:pPr>
              <w:ind w:right="72"/>
              <w:jc w:val="center"/>
              <w:rPr>
                <w:rFonts w:ascii="Tahoma" w:hAnsi="Tahoma"/>
                <w:b/>
                <w:color w:val="000000"/>
                <w:sz w:val="16"/>
              </w:rPr>
            </w:pPr>
            <w:r>
              <w:rPr>
                <w:rFonts w:ascii="Tahoma" w:hAnsi="Tahoma"/>
                <w:b/>
                <w:color w:val="000000"/>
                <w:sz w:val="16"/>
              </w:rPr>
              <w:t>79,00</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2.196.342,72</w:t>
            </w:r>
          </w:p>
        </w:tc>
      </w:tr>
    </w:tbl>
    <w:p w:rsidR="00B42F56" w:rsidRDefault="00691D98">
      <w:pPr>
        <w:spacing w:before="525"/>
        <w:rPr>
          <w:rFonts w:ascii="Times New Roman" w:hAnsi="Times New Roman"/>
          <w:sz w:val="24"/>
        </w:rPr>
      </w:pPr>
      <w:r>
        <w:rPr>
          <w:noProof/>
        </w:rPr>
        <w:drawing>
          <wp:inline distT="0" distB="0" distL="0" distR="0">
            <wp:extent cx="7296150" cy="31718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7296150" cy="317182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5730"/>
        <w:gridCol w:w="1155"/>
        <w:gridCol w:w="1154"/>
        <w:gridCol w:w="15"/>
        <w:gridCol w:w="1140"/>
        <w:gridCol w:w="1155"/>
        <w:gridCol w:w="1155"/>
      </w:tblGrid>
      <w:tr w:rsidR="00B42F56">
        <w:trPr>
          <w:trHeight w:hRule="exact" w:val="570"/>
        </w:trPr>
        <w:tc>
          <w:tcPr>
            <w:tcW w:w="5730" w:type="dxa"/>
          </w:tcPr>
          <w:p w:rsidR="00B42F56" w:rsidRDefault="00B42F56">
            <w:pPr>
              <w:pageBreakBefore/>
              <w:rPr>
                <w:rFonts w:ascii="Times New Roman" w:hAnsi="Times New Roman"/>
                <w:sz w:val="1"/>
              </w:rPr>
            </w:pPr>
          </w:p>
        </w:tc>
        <w:tc>
          <w:tcPr>
            <w:tcW w:w="1155" w:type="dxa"/>
          </w:tcPr>
          <w:p w:rsidR="00B42F56" w:rsidRDefault="00B42F56">
            <w:pPr>
              <w:pageBreakBefore/>
              <w:rPr>
                <w:rFonts w:ascii="Times New Roman" w:hAnsi="Times New Roman"/>
                <w:sz w:val="1"/>
              </w:rPr>
            </w:pPr>
          </w:p>
        </w:tc>
        <w:tc>
          <w:tcPr>
            <w:tcW w:w="1140" w:type="dxa"/>
          </w:tcPr>
          <w:p w:rsidR="00B42F56" w:rsidRDefault="00B42F56">
            <w:pPr>
              <w:pageBreakBefore/>
              <w:rPr>
                <w:rFonts w:ascii="Times New Roman" w:hAnsi="Times New Roman"/>
                <w:sz w:val="1"/>
              </w:rPr>
            </w:pPr>
          </w:p>
        </w:tc>
        <w:tc>
          <w:tcPr>
            <w:tcW w:w="1155" w:type="dxa"/>
            <w:gridSpan w:val="2"/>
          </w:tcPr>
          <w:p w:rsidR="00B42F56" w:rsidRDefault="00B42F56">
            <w:pPr>
              <w:pageBreakBefore/>
              <w:rPr>
                <w:rFonts w:ascii="Times New Roman" w:hAnsi="Times New Roman"/>
                <w:sz w:val="1"/>
              </w:rPr>
            </w:pPr>
          </w:p>
        </w:tc>
        <w:tc>
          <w:tcPr>
            <w:tcW w:w="1155" w:type="dxa"/>
          </w:tcPr>
          <w:p w:rsidR="00B42F56" w:rsidRDefault="00B42F56">
            <w:pPr>
              <w:pageBreakBefore/>
              <w:rPr>
                <w:rFonts w:ascii="Times New Roman" w:hAnsi="Times New Roman"/>
                <w:sz w:val="1"/>
              </w:rPr>
            </w:pPr>
          </w:p>
        </w:tc>
        <w:tc>
          <w:tcPr>
            <w:tcW w:w="1155" w:type="dxa"/>
          </w:tcPr>
          <w:p w:rsidR="00B42F56" w:rsidRDefault="00B42F56">
            <w:pPr>
              <w:pageBreakBefore/>
              <w:rPr>
                <w:rFonts w:ascii="Times New Roman" w:hAnsi="Times New Roman"/>
                <w:sz w:val="1"/>
              </w:rPr>
            </w:pP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Missione</w:t>
            </w:r>
          </w:p>
        </w:tc>
        <w:tc>
          <w:tcPr>
            <w:tcW w:w="115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 1</w:t>
            </w:r>
          </w:p>
        </w:tc>
        <w:tc>
          <w:tcPr>
            <w:tcW w:w="114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 2</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 3</w:t>
            </w:r>
          </w:p>
        </w:tc>
        <w:tc>
          <w:tcPr>
            <w:tcW w:w="115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 4</w:t>
            </w:r>
          </w:p>
        </w:tc>
        <w:tc>
          <w:tcPr>
            <w:tcW w:w="115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 5</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 Servizi istituzionali, generali e di gestione</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2.006.994,33</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100.311,96</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3 Ordine pubblico e sicurezza</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223.671,99</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37.938,16</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4 Istruzione e diritto allo studio</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427.522,91</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65.553,73</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 xml:space="preserve">5 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210.867,76</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1.900,00</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6 Politiche giovanili, sport e tempo libero</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251.601,64</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412.532,25</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7 Turismo</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5.000,00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23.395,85</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8 Assetto del territorio ed edilizia abitativa</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14.835,79</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1.103,54</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9 Sviluppo sostenibile e tutela del territorio e dell'ambiente</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1.672.464,60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126.287,50</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 xml:space="preserve">10 Trasporti e diritto alla </w:t>
            </w:r>
            <w:proofErr w:type="spellStart"/>
            <w:r>
              <w:rPr>
                <w:rFonts w:ascii="Tahoma" w:hAnsi="Tahoma"/>
                <w:color w:val="000000"/>
                <w:sz w:val="16"/>
              </w:rPr>
              <w:t>mobilita'</w:t>
            </w:r>
            <w:proofErr w:type="spellEnd"/>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388.292,83</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375.888,24</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11 Soccorso civile</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167.605,52</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16.094,09</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12 Diritti sociali, politiche sociali e famiglia</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2.422.011,88</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139.665,39</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 xml:space="preserve">14 Sviluppo economico e </w:t>
            </w:r>
            <w:proofErr w:type="spellStart"/>
            <w:r>
              <w:rPr>
                <w:rFonts w:ascii="Tahoma" w:hAnsi="Tahoma"/>
                <w:color w:val="000000"/>
                <w:sz w:val="16"/>
              </w:rPr>
              <w:t>competitivita'</w:t>
            </w:r>
            <w:proofErr w:type="spellEnd"/>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122.331,98</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89.240,82</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16 Agricoltura, politiche agroalimentari e pesca</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20 Fondi e accantonamenti</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99 Servizi per conto terzi</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4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15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360"/>
        </w:trPr>
        <w:tc>
          <w:tcPr>
            <w:tcW w:w="5730" w:type="dxa"/>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Totale</w:t>
            </w:r>
          </w:p>
        </w:tc>
        <w:tc>
          <w:tcPr>
            <w:tcW w:w="115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7.913.201,23</w:t>
            </w:r>
          </w:p>
        </w:tc>
        <w:tc>
          <w:tcPr>
            <w:tcW w:w="114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1.389.911,53</w:t>
            </w:r>
          </w:p>
        </w:tc>
        <w:tc>
          <w:tcPr>
            <w:tcW w:w="1155" w:type="dxa"/>
            <w:gridSpan w:val="2"/>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0,00</w:t>
            </w:r>
          </w:p>
        </w:tc>
        <w:tc>
          <w:tcPr>
            <w:tcW w:w="115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0,00</w:t>
            </w:r>
          </w:p>
        </w:tc>
        <w:tc>
          <w:tcPr>
            <w:tcW w:w="115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0,00</w:t>
            </w:r>
          </w:p>
        </w:tc>
      </w:tr>
    </w:tbl>
    <w:p w:rsidR="00B42F56" w:rsidRDefault="00B42F56">
      <w:pPr>
        <w:rPr>
          <w:rFonts w:ascii="Times New Roman" w:hAnsi="Times New Roman"/>
          <w:sz w:val="24"/>
        </w:rPr>
      </w:pPr>
    </w:p>
    <w:p w:rsidR="00B42F56" w:rsidRDefault="00B42F56"/>
    <w:p w:rsidR="00B42F56" w:rsidRDefault="00B42F56">
      <w:pPr>
        <w:jc w:val="both"/>
      </w:pPr>
    </w:p>
    <w:p w:rsidR="00B42F56" w:rsidRDefault="00691D98">
      <w:r>
        <w:t>Per quanto riguar</w:t>
      </w:r>
      <w:r w:rsidR="00930BB2">
        <w:t xml:space="preserve">da le Entrate Correnti, si nota come Il 52,65 %   </w:t>
      </w:r>
      <w:r>
        <w:t>derivi dalla capa</w:t>
      </w:r>
      <w:r w:rsidR="00930BB2">
        <w:t>cità impositiva dell’Ente,  il  18,32% da trasferimenti da  altri enti del settore pubblico , (   Stato ,  Regione ,  Comuni – fon</w:t>
      </w:r>
      <w:r w:rsidR="008E1BC7">
        <w:t xml:space="preserve">di plus) il 2,34 %   da entrate </w:t>
      </w:r>
      <w:r w:rsidR="00930BB2">
        <w:t xml:space="preserve"> </w:t>
      </w:r>
      <w:proofErr w:type="spellStart"/>
      <w:r w:rsidR="00930BB2">
        <w:t>extratributarie</w:t>
      </w:r>
      <w:proofErr w:type="spellEnd"/>
      <w:r w:rsidR="00930BB2">
        <w:t xml:space="preserve">  ossia  le entrate derivanti da erogazione di servizi  di stato civile anagrafe, m</w:t>
      </w:r>
      <w:r w:rsidR="00606FCF">
        <w:t>ense e trasporti scolastici, re</w:t>
      </w:r>
      <w:r w:rsidR="00930BB2">
        <w:t xml:space="preserve">pressione illeciti </w:t>
      </w:r>
      <w:r w:rsidR="00606FCF">
        <w:t xml:space="preserve"> per violazioni codice della strada e regolamenti comunali</w:t>
      </w:r>
    </w:p>
    <w:p w:rsidR="00B42F56" w:rsidRDefault="00B42F56">
      <w:pPr>
        <w:rPr>
          <w:color w:val="FF0000"/>
        </w:rPr>
      </w:pPr>
    </w:p>
    <w:tbl>
      <w:tblPr>
        <w:tblW w:w="0" w:type="auto"/>
        <w:tblCellMar>
          <w:left w:w="0" w:type="dxa"/>
          <w:right w:w="0" w:type="dxa"/>
        </w:tblCellMar>
        <w:tblLook w:val="04A0" w:firstRow="1" w:lastRow="0" w:firstColumn="1" w:lastColumn="0" w:noHBand="0" w:noVBand="1"/>
      </w:tblPr>
      <w:tblGrid>
        <w:gridCol w:w="15"/>
        <w:gridCol w:w="4320"/>
        <w:gridCol w:w="1500"/>
        <w:gridCol w:w="1500"/>
        <w:gridCol w:w="585"/>
        <w:gridCol w:w="1500"/>
        <w:gridCol w:w="585"/>
        <w:gridCol w:w="1500"/>
      </w:tblGrid>
      <w:tr w:rsidR="00B42F56">
        <w:trPr>
          <w:trHeight w:hRule="exact" w:val="15"/>
        </w:trPr>
        <w:tc>
          <w:tcPr>
            <w:tcW w:w="15" w:type="dxa"/>
          </w:tcPr>
          <w:p w:rsidR="00B42F56" w:rsidRDefault="00B42F56">
            <w:pPr>
              <w:rPr>
                <w:rFonts w:ascii="Times New Roman" w:hAnsi="Times New Roman"/>
                <w:sz w:val="1"/>
              </w:rPr>
            </w:pPr>
          </w:p>
        </w:tc>
        <w:tc>
          <w:tcPr>
            <w:tcW w:w="11490" w:type="dxa"/>
            <w:gridSpan w:val="7"/>
          </w:tcPr>
          <w:p w:rsidR="00B42F56" w:rsidRDefault="00B42F56">
            <w:pPr>
              <w:rPr>
                <w:rFonts w:ascii="Times New Roman" w:hAnsi="Times New Roman"/>
                <w:sz w:val="1"/>
              </w:rPr>
            </w:pPr>
          </w:p>
        </w:tc>
      </w:tr>
      <w:tr w:rsidR="00B42F56">
        <w:trPr>
          <w:trHeight w:val="525"/>
        </w:trPr>
        <w:tc>
          <w:tcPr>
            <w:tcW w:w="15" w:type="dxa"/>
          </w:tcPr>
          <w:p w:rsidR="00B42F56" w:rsidRDefault="00B42F56">
            <w:pPr>
              <w:rPr>
                <w:rFonts w:ascii="Times New Roman" w:hAnsi="Times New Roman"/>
                <w:sz w:val="1"/>
              </w:rPr>
            </w:pPr>
          </w:p>
        </w:tc>
        <w:tc>
          <w:tcPr>
            <w:tcW w:w="11490"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Riepilogo Titoli ENTRATE</w:t>
            </w:r>
          </w:p>
        </w:tc>
      </w:tr>
      <w:tr w:rsidR="00B42F56">
        <w:trPr>
          <w:trHeight w:val="360"/>
        </w:trPr>
        <w:tc>
          <w:tcPr>
            <w:tcW w:w="15" w:type="dxa"/>
          </w:tcPr>
          <w:p w:rsidR="00B42F56" w:rsidRDefault="00B42F56">
            <w:pPr>
              <w:rPr>
                <w:rFonts w:ascii="Times New Roman" w:hAnsi="Times New Roman"/>
                <w:sz w:val="1"/>
              </w:rPr>
            </w:pPr>
          </w:p>
        </w:tc>
        <w:tc>
          <w:tcPr>
            <w:tcW w:w="4320" w:type="dxa"/>
            <w:vMerge w:val="restart"/>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Tipologia</w:t>
            </w:r>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Somme stanziate</w:t>
            </w:r>
          </w:p>
        </w:tc>
        <w:tc>
          <w:tcPr>
            <w:tcW w:w="208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Accertato</w:t>
            </w:r>
          </w:p>
        </w:tc>
        <w:tc>
          <w:tcPr>
            <w:tcW w:w="2085"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Incassato</w:t>
            </w:r>
          </w:p>
        </w:tc>
        <w:tc>
          <w:tcPr>
            <w:tcW w:w="1500" w:type="dxa"/>
            <w:vMerge w:val="restart"/>
            <w:tcBorders>
              <w:top w:val="single" w:sz="6" w:space="0" w:color="000000"/>
              <w:bottom w:val="single" w:sz="6" w:space="0" w:color="000000"/>
              <w:right w:val="single" w:sz="6" w:space="0" w:color="000000"/>
            </w:tcBorders>
            <w:vAlign w:val="center"/>
          </w:tcPr>
          <w:p w:rsidR="00B42F56" w:rsidRDefault="00691D98">
            <w:pPr>
              <w:spacing w:before="72" w:after="72"/>
              <w:ind w:left="72" w:right="72"/>
              <w:jc w:val="center"/>
              <w:rPr>
                <w:rFonts w:ascii="Tahoma" w:hAnsi="Tahoma"/>
                <w:b/>
                <w:color w:val="000000"/>
                <w:sz w:val="16"/>
              </w:rPr>
            </w:pPr>
            <w:r>
              <w:rPr>
                <w:rFonts w:ascii="Tahoma" w:hAnsi="Tahoma"/>
                <w:b/>
                <w:color w:val="000000"/>
                <w:sz w:val="16"/>
              </w:rPr>
              <w:t>Residui attivi</w:t>
            </w:r>
          </w:p>
        </w:tc>
      </w:tr>
      <w:tr w:rsidR="00B42F56">
        <w:trPr>
          <w:trHeight w:val="360"/>
        </w:trPr>
        <w:tc>
          <w:tcPr>
            <w:tcW w:w="15" w:type="dxa"/>
          </w:tcPr>
          <w:p w:rsidR="00B42F56" w:rsidRDefault="00B42F56">
            <w:pPr>
              <w:rPr>
                <w:rFonts w:ascii="Times New Roman" w:hAnsi="Times New Roman"/>
                <w:sz w:val="1"/>
              </w:rPr>
            </w:pPr>
          </w:p>
        </w:tc>
        <w:tc>
          <w:tcPr>
            <w:tcW w:w="4320" w:type="dxa"/>
            <w:vMerge/>
            <w:tcBorders>
              <w:top w:val="single" w:sz="6" w:space="0" w:color="000000"/>
              <w:left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500"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Accertamenti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00"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Reversali</w:t>
            </w:r>
          </w:p>
        </w:tc>
        <w:tc>
          <w:tcPr>
            <w:tcW w:w="58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w:t>
            </w:r>
          </w:p>
        </w:tc>
        <w:tc>
          <w:tcPr>
            <w:tcW w:w="150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0. Avanzo di amministrazione/Utilizzo fondo pluriennale vincolato</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5.511.767,73</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5.511.767,73</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100,00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1. Entrate correnti di natura tributaria, contributiva e perequativa</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8.522.976,10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8.496.151,43</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99,69</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8.069.306,16</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94,98</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426.845,27</w:t>
            </w:r>
          </w:p>
        </w:tc>
      </w:tr>
      <w:tr w:rsidR="00B42F56">
        <w:trPr>
          <w:trHeight w:val="300"/>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2. Trasferimenti correnti</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4.505.132,97</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2.925.916,35</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64,95</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2.817.574,16</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96,30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108.342,19</w:t>
            </w: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 xml:space="preserve">3. Entrate </w:t>
            </w:r>
            <w:proofErr w:type="spellStart"/>
            <w:r>
              <w:rPr>
                <w:rFonts w:ascii="Tahoma" w:hAnsi="Tahoma"/>
                <w:color w:val="000000"/>
                <w:sz w:val="16"/>
              </w:rPr>
              <w:t>extratributarie</w:t>
            </w:r>
            <w:proofErr w:type="spellEnd"/>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358.373,46</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377.073,78</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105,22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258.357,44</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68,52</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118.716,34</w:t>
            </w: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4. Entrate in conto capitale</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3.175.000,00</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3.182.462,68</w:t>
            </w:r>
          </w:p>
        </w:tc>
        <w:tc>
          <w:tcPr>
            <w:tcW w:w="585" w:type="dxa"/>
            <w:tcBorders>
              <w:top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100,24</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47.444,60</w:t>
            </w:r>
          </w:p>
        </w:tc>
        <w:tc>
          <w:tcPr>
            <w:tcW w:w="585" w:type="dxa"/>
            <w:tcBorders>
              <w:top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1,49</w:t>
            </w:r>
          </w:p>
        </w:tc>
        <w:tc>
          <w:tcPr>
            <w:tcW w:w="1500" w:type="dxa"/>
            <w:tcBorders>
              <w:top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3.135.018,08</w:t>
            </w: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9. Entrate per conto terzi e partite di giro</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1.771.500,00</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1.156.700,74</w:t>
            </w:r>
          </w:p>
        </w:tc>
        <w:tc>
          <w:tcPr>
            <w:tcW w:w="585" w:type="dxa"/>
            <w:tcBorders>
              <w:top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65,29</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1.149.932,56</w:t>
            </w:r>
          </w:p>
        </w:tc>
        <w:tc>
          <w:tcPr>
            <w:tcW w:w="585" w:type="dxa"/>
            <w:tcBorders>
              <w:top w:val="single" w:sz="6" w:space="0" w:color="000000"/>
              <w:right w:val="single" w:sz="6" w:space="0" w:color="000000"/>
            </w:tcBorders>
            <w:shd w:val="clear" w:color="auto" w:fill="E6E6FA"/>
            <w:vAlign w:val="center"/>
          </w:tcPr>
          <w:p w:rsidR="00B42F56" w:rsidRDefault="00691D98">
            <w:pPr>
              <w:ind w:right="72"/>
              <w:jc w:val="center"/>
              <w:rPr>
                <w:rFonts w:ascii="Tahoma" w:hAnsi="Tahoma"/>
                <w:color w:val="000000"/>
                <w:sz w:val="16"/>
              </w:rPr>
            </w:pPr>
            <w:r>
              <w:rPr>
                <w:rFonts w:ascii="Tahoma" w:hAnsi="Tahoma"/>
                <w:color w:val="000000"/>
                <w:sz w:val="16"/>
              </w:rPr>
              <w:t>99,41</w:t>
            </w:r>
          </w:p>
        </w:tc>
        <w:tc>
          <w:tcPr>
            <w:tcW w:w="1500" w:type="dxa"/>
            <w:tcBorders>
              <w:top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6.768,18</w:t>
            </w:r>
          </w:p>
        </w:tc>
      </w:tr>
      <w:tr w:rsidR="00B42F56">
        <w:trPr>
          <w:trHeight w:val="285"/>
        </w:trPr>
        <w:tc>
          <w:tcPr>
            <w:tcW w:w="15" w:type="dxa"/>
          </w:tcPr>
          <w:p w:rsidR="00B42F56" w:rsidRDefault="00B42F56">
            <w:pPr>
              <w:rPr>
                <w:rFonts w:ascii="Times New Roman" w:hAnsi="Times New Roman"/>
                <w:sz w:val="1"/>
              </w:rPr>
            </w:pPr>
          </w:p>
        </w:tc>
        <w:tc>
          <w:tcPr>
            <w:tcW w:w="432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right="72"/>
              <w:jc w:val="right"/>
              <w:rPr>
                <w:rFonts w:ascii="Tahoma" w:hAnsi="Tahoma"/>
                <w:b/>
                <w:color w:val="000000"/>
                <w:sz w:val="16"/>
              </w:rPr>
            </w:pPr>
            <w:r>
              <w:rPr>
                <w:rFonts w:ascii="Tahoma" w:hAnsi="Tahoma"/>
                <w:b/>
                <w:color w:val="000000"/>
                <w:sz w:val="16"/>
              </w:rPr>
              <w:t>Totale</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23.844.750,26</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21.650.072,71</w:t>
            </w:r>
          </w:p>
        </w:tc>
        <w:tc>
          <w:tcPr>
            <w:tcW w:w="58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90,80</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12.342.614,92</w:t>
            </w:r>
          </w:p>
        </w:tc>
        <w:tc>
          <w:tcPr>
            <w:tcW w:w="585" w:type="dxa"/>
            <w:tcBorders>
              <w:top w:val="single" w:sz="6" w:space="0" w:color="000000"/>
              <w:bottom w:val="single" w:sz="6" w:space="0" w:color="000000"/>
              <w:right w:val="single" w:sz="6" w:space="0" w:color="000000"/>
            </w:tcBorders>
            <w:vAlign w:val="center"/>
          </w:tcPr>
          <w:p w:rsidR="00B42F56" w:rsidRDefault="00691D98">
            <w:pPr>
              <w:ind w:right="72"/>
              <w:jc w:val="center"/>
              <w:rPr>
                <w:rFonts w:ascii="Tahoma" w:hAnsi="Tahoma"/>
                <w:color w:val="000000"/>
                <w:sz w:val="16"/>
              </w:rPr>
            </w:pPr>
            <w:r>
              <w:rPr>
                <w:rFonts w:ascii="Tahoma" w:hAnsi="Tahoma"/>
                <w:color w:val="000000"/>
                <w:sz w:val="16"/>
              </w:rPr>
              <w:t>57,01</w:t>
            </w:r>
          </w:p>
        </w:tc>
        <w:tc>
          <w:tcPr>
            <w:tcW w:w="150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3.795.690,06</w:t>
            </w:r>
          </w:p>
        </w:tc>
      </w:tr>
    </w:tbl>
    <w:p w:rsidR="00B42F56" w:rsidRDefault="00691D98">
      <w:pPr>
        <w:spacing w:before="315"/>
        <w:ind w:left="15"/>
        <w:rPr>
          <w:rFonts w:ascii="Times New Roman" w:hAnsi="Times New Roman"/>
          <w:sz w:val="24"/>
        </w:rPr>
      </w:pPr>
      <w:r>
        <w:rPr>
          <w:noProof/>
        </w:rPr>
        <w:lastRenderedPageBreak/>
        <w:drawing>
          <wp:inline distT="0" distB="0" distL="0" distR="0">
            <wp:extent cx="729615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a:fillRect/>
                    </a:stretch>
                  </pic:blipFill>
                  <pic:spPr>
                    <a:xfrm>
                      <a:off x="0" y="0"/>
                      <a:ext cx="7296150" cy="3190875"/>
                    </a:xfrm>
                    <a:prstGeom prst="rect">
                      <a:avLst/>
                    </a:prstGeom>
                    <a:noFill/>
                  </pic:spPr>
                </pic:pic>
              </a:graphicData>
            </a:graphic>
          </wp:inline>
        </w:drawing>
      </w:r>
    </w:p>
    <w:p w:rsidR="00B42F56" w:rsidRDefault="00691D98">
      <w:r>
        <w:br w:type="page"/>
      </w:r>
    </w:p>
    <w:p w:rsidR="00B42F56" w:rsidRDefault="00691D98">
      <w:pPr>
        <w:pStyle w:val="Titolo2"/>
      </w:pPr>
      <w:bookmarkStart w:id="2" w:name="_Toc477717552"/>
      <w:r>
        <w:lastRenderedPageBreak/>
        <w:t>LA GESTIONE RESIDUI</w:t>
      </w:r>
      <w:bookmarkEnd w:id="2"/>
    </w:p>
    <w:p w:rsidR="00B42F56" w:rsidRDefault="00B42F56">
      <w:pPr>
        <w:jc w:val="both"/>
      </w:pPr>
    </w:p>
    <w:p w:rsidR="00B42F56" w:rsidRDefault="00691D98">
      <w:pPr>
        <w:jc w:val="both"/>
      </w:pPr>
      <w:r>
        <w:t xml:space="preserve"> si è provveduto alla verifica puntuale dei residui attivi, che rappresentano crediti esigibili e non incassati. Il volume dei crediti scaduti e non incassati, ai sensi del Principio Contabile applicato della Contabilità Finanziaria, allegato 4/2, obbliga questa amministrazione ad accantonare una quota del risultato di amministrazione a copertura del potenziale insoluto delle poste iscritte a residuo.</w:t>
      </w:r>
      <w:r w:rsidR="008E1BC7">
        <w:t xml:space="preserve"> Allo stesso modo i settori hanno proceduto ad una revisione dei residui passivi che rappresentano dei debiti   verificando i presupposti per la loro conservazione , eliminando mandando in economia tutte le poste prive dei requisiti stabiliti dal </w:t>
      </w:r>
      <w:proofErr w:type="spellStart"/>
      <w:r w:rsidR="008E1BC7">
        <w:t>tuel</w:t>
      </w:r>
      <w:proofErr w:type="spellEnd"/>
      <w:r w:rsidR="008E1BC7">
        <w:t xml:space="preserve"> e dal principio della competenza potenziata di cui al DL.gs 118/2011  rettificando  detta posta  di 791.533,57 </w:t>
      </w:r>
      <w:r w:rsidR="00BD47B2">
        <w:t xml:space="preserve"> </w:t>
      </w:r>
    </w:p>
    <w:p w:rsidR="00B42F56" w:rsidRDefault="00B42F56">
      <w:pPr>
        <w:jc w:val="both"/>
      </w:pPr>
    </w:p>
    <w:tbl>
      <w:tblPr>
        <w:tblW w:w="0" w:type="auto"/>
        <w:tblCellMar>
          <w:left w:w="0" w:type="dxa"/>
          <w:right w:w="0" w:type="dxa"/>
        </w:tblCellMar>
        <w:tblLook w:val="04A0" w:firstRow="1" w:lastRow="0" w:firstColumn="1" w:lastColumn="0" w:noHBand="0" w:noVBand="1"/>
      </w:tblPr>
      <w:tblGrid>
        <w:gridCol w:w="30"/>
        <w:gridCol w:w="285"/>
        <w:gridCol w:w="1920"/>
        <w:gridCol w:w="1320"/>
        <w:gridCol w:w="1335"/>
        <w:gridCol w:w="1305"/>
        <w:gridCol w:w="1335"/>
        <w:gridCol w:w="1320"/>
        <w:gridCol w:w="1320"/>
        <w:gridCol w:w="1320"/>
      </w:tblGrid>
      <w:tr w:rsidR="00B42F56">
        <w:trPr>
          <w:trHeight w:hRule="exact" w:val="15"/>
        </w:trPr>
        <w:tc>
          <w:tcPr>
            <w:tcW w:w="30" w:type="dxa"/>
          </w:tcPr>
          <w:p w:rsidR="00B42F56" w:rsidRDefault="00B42F56">
            <w:pPr>
              <w:rPr>
                <w:rFonts w:ascii="Times New Roman" w:hAnsi="Times New Roman"/>
                <w:sz w:val="1"/>
              </w:rPr>
            </w:pPr>
          </w:p>
        </w:tc>
        <w:tc>
          <w:tcPr>
            <w:tcW w:w="11460" w:type="dxa"/>
            <w:gridSpan w:val="9"/>
          </w:tcPr>
          <w:p w:rsidR="00B42F56" w:rsidRDefault="00B42F56">
            <w:pPr>
              <w:rPr>
                <w:rFonts w:ascii="Times New Roman" w:hAnsi="Times New Roman"/>
                <w:sz w:val="1"/>
              </w:rPr>
            </w:pPr>
          </w:p>
        </w:tc>
      </w:tr>
      <w:tr w:rsidR="00B42F56">
        <w:trPr>
          <w:trHeight w:val="525"/>
        </w:trPr>
        <w:tc>
          <w:tcPr>
            <w:tcW w:w="30" w:type="dxa"/>
          </w:tcPr>
          <w:p w:rsidR="00B42F56" w:rsidRDefault="00B42F56">
            <w:pPr>
              <w:rPr>
                <w:rFonts w:ascii="Times New Roman" w:hAnsi="Times New Roman"/>
                <w:sz w:val="1"/>
              </w:rPr>
            </w:pPr>
          </w:p>
        </w:tc>
        <w:tc>
          <w:tcPr>
            <w:tcW w:w="1146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Andamento gestione residui</w:t>
            </w:r>
          </w:p>
        </w:tc>
      </w:tr>
      <w:tr w:rsidR="00B42F56">
        <w:trPr>
          <w:trHeight w:val="360"/>
        </w:trPr>
        <w:tc>
          <w:tcPr>
            <w:tcW w:w="30" w:type="dxa"/>
          </w:tcPr>
          <w:p w:rsidR="00B42F56" w:rsidRDefault="00B42F56">
            <w:pPr>
              <w:rPr>
                <w:rFonts w:ascii="Times New Roman" w:hAnsi="Times New Roman"/>
                <w:sz w:val="1"/>
              </w:rPr>
            </w:pP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iniziali</w:t>
            </w:r>
          </w:p>
        </w:tc>
        <w:tc>
          <w:tcPr>
            <w:tcW w:w="3975" w:type="dxa"/>
            <w:gridSpan w:val="3"/>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Variazioni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rimasti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Residui incassati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al 31/12</w:t>
            </w:r>
          </w:p>
        </w:tc>
      </w:tr>
      <w:tr w:rsidR="00B42F56">
        <w:trPr>
          <w:trHeight w:val="360"/>
        </w:trPr>
        <w:tc>
          <w:tcPr>
            <w:tcW w:w="30" w:type="dxa"/>
          </w:tcPr>
          <w:p w:rsidR="00B42F56" w:rsidRDefault="00B42F56">
            <w:pPr>
              <w:rPr>
                <w:rFonts w:ascii="Times New Roman" w:hAnsi="Times New Roman"/>
                <w:sz w:val="1"/>
              </w:rPr>
            </w:pPr>
          </w:p>
        </w:tc>
        <w:tc>
          <w:tcPr>
            <w:tcW w:w="2205" w:type="dxa"/>
            <w:gridSpan w:val="2"/>
            <w:vMerge/>
            <w:tcBorders>
              <w:top w:val="single" w:sz="6" w:space="0" w:color="000000"/>
              <w:left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3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Maggiori residui</w:t>
            </w:r>
          </w:p>
        </w:tc>
        <w:tc>
          <w:tcPr>
            <w:tcW w:w="130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Minori residui</w:t>
            </w:r>
          </w:p>
        </w:tc>
        <w:tc>
          <w:tcPr>
            <w:tcW w:w="133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Totale</w:t>
            </w: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r>
      <w:tr w:rsidR="00B42F56">
        <w:trPr>
          <w:trHeight w:val="645"/>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1</w:t>
            </w:r>
          </w:p>
        </w:tc>
        <w:tc>
          <w:tcPr>
            <w:tcW w:w="1920" w:type="dxa"/>
            <w:tcBorders>
              <w:top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3.620.086,64</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350.503,85</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-350.503,85</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3.269.582,79</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1.301.497,05</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1.968.085,74</w:t>
            </w:r>
          </w:p>
        </w:tc>
      </w:tr>
      <w:tr w:rsidR="00B42F56">
        <w:trPr>
          <w:trHeight w:val="36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2</w:t>
            </w:r>
          </w:p>
        </w:tc>
        <w:tc>
          <w:tcPr>
            <w:tcW w:w="192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54.228,35</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59,27</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-59,27</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54.169,08</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14.119,08</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40.050,00</w:t>
            </w:r>
          </w:p>
        </w:tc>
      </w:tr>
      <w:tr w:rsidR="00B42F56">
        <w:trPr>
          <w:trHeight w:val="36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3</w:t>
            </w:r>
          </w:p>
        </w:tc>
        <w:tc>
          <w:tcPr>
            <w:tcW w:w="1920" w:type="dxa"/>
            <w:tcBorders>
              <w:top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397.546,68</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31.196,97</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-31.196,97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366.349,71</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21.798,80</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344.550,91</w:t>
            </w:r>
          </w:p>
        </w:tc>
      </w:tr>
      <w:tr w:rsidR="00B42F56">
        <w:trPr>
          <w:trHeight w:val="36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4</w:t>
            </w:r>
          </w:p>
        </w:tc>
        <w:tc>
          <w:tcPr>
            <w:tcW w:w="192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2.193.000,00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2.193.000,00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430.000,00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1.763.000,00</w:t>
            </w:r>
          </w:p>
        </w:tc>
      </w:tr>
      <w:tr w:rsidR="00B42F56">
        <w:trPr>
          <w:trHeight w:val="45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9</w:t>
            </w:r>
          </w:p>
        </w:tc>
        <w:tc>
          <w:tcPr>
            <w:tcW w:w="1920" w:type="dxa"/>
            <w:tcBorders>
              <w:top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33.980,04</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2.284,48</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-2.284,48</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31.695,56</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22.733,64</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8.961,92</w:t>
            </w:r>
          </w:p>
        </w:tc>
      </w:tr>
      <w:tr w:rsidR="00B42F56">
        <w:trPr>
          <w:trHeight w:val="360"/>
        </w:trPr>
        <w:tc>
          <w:tcPr>
            <w:tcW w:w="30" w:type="dxa"/>
          </w:tcPr>
          <w:p w:rsidR="00B42F56" w:rsidRDefault="00B42F56">
            <w:pPr>
              <w:rPr>
                <w:rFonts w:ascii="Times New Roman" w:hAnsi="Times New Roman"/>
                <w:sz w:val="1"/>
              </w:rPr>
            </w:pPr>
          </w:p>
        </w:tc>
        <w:tc>
          <w:tcPr>
            <w:tcW w:w="220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6.298.841,71</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0,00</w:t>
            </w:r>
          </w:p>
        </w:tc>
        <w:tc>
          <w:tcPr>
            <w:tcW w:w="130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384.044,57</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-384.044,57</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5.914.797,14</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1.790.148,57</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4.124.648,57</w:t>
            </w:r>
          </w:p>
        </w:tc>
      </w:tr>
      <w:tr w:rsidR="00B42F56">
        <w:trPr>
          <w:trHeight w:hRule="exact" w:val="540"/>
        </w:trPr>
        <w:tc>
          <w:tcPr>
            <w:tcW w:w="30" w:type="dxa"/>
          </w:tcPr>
          <w:p w:rsidR="00B42F56" w:rsidRDefault="00B42F56">
            <w:pPr>
              <w:rPr>
                <w:rFonts w:ascii="Times New Roman" w:hAnsi="Times New Roman"/>
                <w:sz w:val="1"/>
              </w:rPr>
            </w:pPr>
          </w:p>
        </w:tc>
        <w:tc>
          <w:tcPr>
            <w:tcW w:w="2205" w:type="dxa"/>
            <w:gridSpan w:val="2"/>
          </w:tcPr>
          <w:p w:rsidR="00B42F56" w:rsidRDefault="008E1BC7">
            <w:pPr>
              <w:rPr>
                <w:rFonts w:ascii="Times New Roman" w:hAnsi="Times New Roman"/>
                <w:sz w:val="1"/>
              </w:rPr>
            </w:pPr>
            <w:r>
              <w:rPr>
                <w:rFonts w:ascii="Times New Roman" w:hAnsi="Times New Roman"/>
                <w:sz w:val="1"/>
              </w:rPr>
              <w:t>p</w:t>
            </w:r>
          </w:p>
        </w:tc>
        <w:tc>
          <w:tcPr>
            <w:tcW w:w="1320" w:type="dxa"/>
          </w:tcPr>
          <w:p w:rsidR="00B42F56" w:rsidRDefault="00B42F56">
            <w:pPr>
              <w:rPr>
                <w:rFonts w:ascii="Times New Roman" w:hAnsi="Times New Roman"/>
                <w:sz w:val="1"/>
              </w:rPr>
            </w:pPr>
          </w:p>
        </w:tc>
        <w:tc>
          <w:tcPr>
            <w:tcW w:w="1335" w:type="dxa"/>
          </w:tcPr>
          <w:p w:rsidR="00B42F56" w:rsidRDefault="00B42F56">
            <w:pPr>
              <w:rPr>
                <w:rFonts w:ascii="Times New Roman" w:hAnsi="Times New Roman"/>
                <w:sz w:val="1"/>
              </w:rPr>
            </w:pPr>
          </w:p>
        </w:tc>
        <w:tc>
          <w:tcPr>
            <w:tcW w:w="1305" w:type="dxa"/>
          </w:tcPr>
          <w:p w:rsidR="00B42F56" w:rsidRDefault="00B42F56">
            <w:pPr>
              <w:rPr>
                <w:rFonts w:ascii="Times New Roman" w:hAnsi="Times New Roman"/>
                <w:sz w:val="1"/>
              </w:rPr>
            </w:pPr>
          </w:p>
        </w:tc>
        <w:tc>
          <w:tcPr>
            <w:tcW w:w="1335" w:type="dxa"/>
          </w:tcPr>
          <w:p w:rsidR="00B42F56" w:rsidRDefault="00B42F56">
            <w:pPr>
              <w:rPr>
                <w:rFonts w:ascii="Times New Roman" w:hAnsi="Times New Roman"/>
                <w:sz w:val="1"/>
              </w:rPr>
            </w:pPr>
          </w:p>
        </w:tc>
        <w:tc>
          <w:tcPr>
            <w:tcW w:w="1320" w:type="dxa"/>
          </w:tcPr>
          <w:p w:rsidR="00B42F56" w:rsidRDefault="00B42F56">
            <w:pPr>
              <w:rPr>
                <w:rFonts w:ascii="Times New Roman" w:hAnsi="Times New Roman"/>
                <w:sz w:val="1"/>
              </w:rPr>
            </w:pPr>
          </w:p>
        </w:tc>
        <w:tc>
          <w:tcPr>
            <w:tcW w:w="1320" w:type="dxa"/>
          </w:tcPr>
          <w:p w:rsidR="00B42F56" w:rsidRDefault="00B42F56">
            <w:pPr>
              <w:rPr>
                <w:rFonts w:ascii="Times New Roman" w:hAnsi="Times New Roman"/>
                <w:sz w:val="1"/>
              </w:rPr>
            </w:pPr>
          </w:p>
        </w:tc>
        <w:tc>
          <w:tcPr>
            <w:tcW w:w="1320" w:type="dxa"/>
          </w:tcPr>
          <w:p w:rsidR="00B42F56" w:rsidRDefault="00B42F56">
            <w:pPr>
              <w:rPr>
                <w:rFonts w:ascii="Times New Roman" w:hAnsi="Times New Roman"/>
                <w:sz w:val="1"/>
              </w:rPr>
            </w:pPr>
          </w:p>
        </w:tc>
      </w:tr>
      <w:tr w:rsidR="008E1BC7">
        <w:trPr>
          <w:trHeight w:hRule="exact" w:val="540"/>
        </w:trPr>
        <w:tc>
          <w:tcPr>
            <w:tcW w:w="30" w:type="dxa"/>
          </w:tcPr>
          <w:p w:rsidR="008E1BC7" w:rsidRDefault="008E1BC7">
            <w:pPr>
              <w:rPr>
                <w:rFonts w:ascii="Times New Roman" w:hAnsi="Times New Roman"/>
                <w:sz w:val="1"/>
              </w:rPr>
            </w:pPr>
            <w:r>
              <w:rPr>
                <w:rFonts w:ascii="Times New Roman" w:hAnsi="Times New Roman"/>
                <w:sz w:val="1"/>
              </w:rPr>
              <w:t>per</w:t>
            </w:r>
          </w:p>
        </w:tc>
        <w:tc>
          <w:tcPr>
            <w:tcW w:w="2205" w:type="dxa"/>
            <w:gridSpan w:val="2"/>
          </w:tcPr>
          <w:p w:rsidR="008E1BC7" w:rsidRDefault="008E1BC7">
            <w:pPr>
              <w:rPr>
                <w:rFonts w:ascii="Times New Roman" w:hAnsi="Times New Roman"/>
                <w:sz w:val="1"/>
              </w:rPr>
            </w:pPr>
          </w:p>
        </w:tc>
        <w:tc>
          <w:tcPr>
            <w:tcW w:w="1320" w:type="dxa"/>
          </w:tcPr>
          <w:p w:rsidR="008E1BC7" w:rsidRDefault="008E1BC7">
            <w:pPr>
              <w:rPr>
                <w:rFonts w:ascii="Times New Roman" w:hAnsi="Times New Roman"/>
                <w:sz w:val="1"/>
              </w:rPr>
            </w:pPr>
          </w:p>
        </w:tc>
        <w:tc>
          <w:tcPr>
            <w:tcW w:w="1335" w:type="dxa"/>
          </w:tcPr>
          <w:p w:rsidR="008E1BC7" w:rsidRDefault="008E1BC7">
            <w:pPr>
              <w:rPr>
                <w:rFonts w:ascii="Times New Roman" w:hAnsi="Times New Roman"/>
                <w:sz w:val="1"/>
              </w:rPr>
            </w:pPr>
          </w:p>
        </w:tc>
        <w:tc>
          <w:tcPr>
            <w:tcW w:w="1305" w:type="dxa"/>
          </w:tcPr>
          <w:p w:rsidR="008E1BC7" w:rsidRDefault="008E1BC7">
            <w:pPr>
              <w:rPr>
                <w:rFonts w:ascii="Times New Roman" w:hAnsi="Times New Roman"/>
                <w:sz w:val="1"/>
              </w:rPr>
            </w:pPr>
          </w:p>
        </w:tc>
        <w:tc>
          <w:tcPr>
            <w:tcW w:w="1335" w:type="dxa"/>
          </w:tcPr>
          <w:p w:rsidR="008E1BC7" w:rsidRDefault="008E1BC7">
            <w:pPr>
              <w:rPr>
                <w:rFonts w:ascii="Times New Roman" w:hAnsi="Times New Roman"/>
                <w:sz w:val="1"/>
              </w:rPr>
            </w:pPr>
          </w:p>
        </w:tc>
        <w:tc>
          <w:tcPr>
            <w:tcW w:w="1320" w:type="dxa"/>
          </w:tcPr>
          <w:p w:rsidR="008E1BC7" w:rsidRDefault="008E1BC7">
            <w:pPr>
              <w:rPr>
                <w:rFonts w:ascii="Times New Roman" w:hAnsi="Times New Roman"/>
                <w:sz w:val="1"/>
              </w:rPr>
            </w:pPr>
          </w:p>
        </w:tc>
        <w:tc>
          <w:tcPr>
            <w:tcW w:w="1320" w:type="dxa"/>
          </w:tcPr>
          <w:p w:rsidR="008E1BC7" w:rsidRDefault="008E1BC7">
            <w:pPr>
              <w:rPr>
                <w:rFonts w:ascii="Times New Roman" w:hAnsi="Times New Roman"/>
                <w:sz w:val="1"/>
              </w:rPr>
            </w:pPr>
          </w:p>
        </w:tc>
        <w:tc>
          <w:tcPr>
            <w:tcW w:w="1320" w:type="dxa"/>
          </w:tcPr>
          <w:p w:rsidR="008E1BC7" w:rsidRDefault="008E1BC7">
            <w:pPr>
              <w:rPr>
                <w:rFonts w:ascii="Times New Roman" w:hAnsi="Times New Roman"/>
                <w:sz w:val="1"/>
              </w:rPr>
            </w:pPr>
          </w:p>
        </w:tc>
      </w:tr>
      <w:tr w:rsidR="00B42F56">
        <w:trPr>
          <w:trHeight w:val="360"/>
        </w:trPr>
        <w:tc>
          <w:tcPr>
            <w:tcW w:w="30" w:type="dxa"/>
          </w:tcPr>
          <w:p w:rsidR="00B42F56" w:rsidRDefault="00B42F56">
            <w:pPr>
              <w:rPr>
                <w:rFonts w:ascii="Times New Roman" w:hAnsi="Times New Roman"/>
                <w:sz w:val="1"/>
              </w:rPr>
            </w:pP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iniziali</w:t>
            </w:r>
          </w:p>
        </w:tc>
        <w:tc>
          <w:tcPr>
            <w:tcW w:w="3975" w:type="dxa"/>
            <w:gridSpan w:val="3"/>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Variazioni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rimasti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Residui pagati</w:t>
            </w:r>
          </w:p>
        </w:tc>
        <w:tc>
          <w:tcPr>
            <w:tcW w:w="1320" w:type="dxa"/>
            <w:vMerge w:val="restart"/>
            <w:tcBorders>
              <w:top w:val="single" w:sz="6" w:space="0" w:color="000000"/>
              <w:bottom w:val="single" w:sz="6" w:space="0" w:color="000000"/>
              <w:right w:val="single" w:sz="6" w:space="0" w:color="000000"/>
            </w:tcBorders>
            <w:vAlign w:val="center"/>
          </w:tcPr>
          <w:p w:rsidR="00B42F56" w:rsidRDefault="00691D98">
            <w:pPr>
              <w:ind w:left="72" w:right="72"/>
              <w:jc w:val="center"/>
              <w:rPr>
                <w:rFonts w:ascii="Tahoma" w:hAnsi="Tahoma"/>
                <w:b/>
                <w:color w:val="000000"/>
                <w:sz w:val="16"/>
              </w:rPr>
            </w:pPr>
            <w:r>
              <w:rPr>
                <w:rFonts w:ascii="Tahoma" w:hAnsi="Tahoma"/>
                <w:b/>
                <w:color w:val="000000"/>
                <w:sz w:val="16"/>
              </w:rPr>
              <w:t>Residui al 31/12</w:t>
            </w:r>
          </w:p>
        </w:tc>
      </w:tr>
      <w:tr w:rsidR="00B42F56">
        <w:trPr>
          <w:trHeight w:val="360"/>
        </w:trPr>
        <w:tc>
          <w:tcPr>
            <w:tcW w:w="30" w:type="dxa"/>
          </w:tcPr>
          <w:p w:rsidR="00B42F56" w:rsidRDefault="00B42F56">
            <w:pPr>
              <w:rPr>
                <w:rFonts w:ascii="Times New Roman" w:hAnsi="Times New Roman"/>
                <w:sz w:val="1"/>
              </w:rPr>
            </w:pPr>
          </w:p>
        </w:tc>
        <w:tc>
          <w:tcPr>
            <w:tcW w:w="2205" w:type="dxa"/>
            <w:gridSpan w:val="2"/>
            <w:vMerge/>
            <w:tcBorders>
              <w:top w:val="single" w:sz="6" w:space="0" w:color="000000"/>
              <w:left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3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Maggiori residui</w:t>
            </w:r>
          </w:p>
        </w:tc>
        <w:tc>
          <w:tcPr>
            <w:tcW w:w="130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Minori residui</w:t>
            </w:r>
          </w:p>
        </w:tc>
        <w:tc>
          <w:tcPr>
            <w:tcW w:w="1335" w:type="dxa"/>
            <w:tcBorders>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Totale</w:t>
            </w: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c>
          <w:tcPr>
            <w:tcW w:w="1320" w:type="dxa"/>
            <w:vMerge/>
            <w:tcBorders>
              <w:top w:val="single" w:sz="6" w:space="0" w:color="000000"/>
              <w:bottom w:val="single" w:sz="6" w:space="0" w:color="000000"/>
              <w:right w:val="single" w:sz="6" w:space="0" w:color="000000"/>
            </w:tcBorders>
          </w:tcPr>
          <w:p w:rsidR="00B42F56" w:rsidRDefault="00B42F56">
            <w:pPr>
              <w:rPr>
                <w:rFonts w:ascii="Times New Roman" w:hAnsi="Times New Roman"/>
                <w:sz w:val="1"/>
              </w:rPr>
            </w:pPr>
          </w:p>
        </w:tc>
      </w:tr>
      <w:tr w:rsidR="00B42F56">
        <w:trPr>
          <w:trHeight w:val="36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1</w:t>
            </w:r>
          </w:p>
        </w:tc>
        <w:tc>
          <w:tcPr>
            <w:tcW w:w="192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3.476.184,14</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705.925,16</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-705.925,16</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2.770.258,98</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2.435.072,65</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335.186,33</w:t>
            </w:r>
          </w:p>
        </w:tc>
      </w:tr>
      <w:tr w:rsidR="00B42F56">
        <w:trPr>
          <w:trHeight w:val="36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2</w:t>
            </w:r>
          </w:p>
        </w:tc>
        <w:tc>
          <w:tcPr>
            <w:tcW w:w="1920" w:type="dxa"/>
            <w:tcBorders>
              <w:top w:val="single" w:sz="6" w:space="0" w:color="000000"/>
              <w:bottom w:val="single" w:sz="6" w:space="0" w:color="000000"/>
              <w:right w:val="single" w:sz="6" w:space="0" w:color="000000"/>
            </w:tcBorders>
            <w:vAlign w:val="center"/>
          </w:tcPr>
          <w:p w:rsidR="00B42F56" w:rsidRDefault="00691D98">
            <w:pPr>
              <w:ind w:left="43"/>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1.056.695,79</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82.762,55</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-82.762,55</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973.933,24</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917.582,57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56.350,67</w:t>
            </w:r>
          </w:p>
        </w:tc>
      </w:tr>
      <w:tr w:rsidR="00B42F56">
        <w:trPr>
          <w:trHeight w:val="450"/>
        </w:trPr>
        <w:tc>
          <w:tcPr>
            <w:tcW w:w="30" w:type="dxa"/>
          </w:tcPr>
          <w:p w:rsidR="00B42F56" w:rsidRDefault="00B42F56">
            <w:pPr>
              <w:rPr>
                <w:rFonts w:ascii="Times New Roman" w:hAnsi="Times New Roman"/>
                <w:sz w:val="1"/>
              </w:rPr>
            </w:pPr>
          </w:p>
        </w:tc>
        <w:tc>
          <w:tcPr>
            <w:tcW w:w="28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6"/>
              </w:rPr>
            </w:pPr>
            <w:r>
              <w:rPr>
                <w:rFonts w:ascii="Tahoma" w:hAnsi="Tahoma"/>
                <w:color w:val="000000"/>
                <w:sz w:val="16"/>
              </w:rPr>
              <w:t>7</w:t>
            </w:r>
          </w:p>
        </w:tc>
        <w:tc>
          <w:tcPr>
            <w:tcW w:w="1920"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43"/>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98.192,85</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0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2.845,86</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-2.845,86</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95.346,99</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6.505,52</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88.841,47</w:t>
            </w:r>
          </w:p>
        </w:tc>
      </w:tr>
      <w:tr w:rsidR="00B42F56">
        <w:trPr>
          <w:trHeight w:val="360"/>
        </w:trPr>
        <w:tc>
          <w:tcPr>
            <w:tcW w:w="30" w:type="dxa"/>
          </w:tcPr>
          <w:p w:rsidR="00B42F56" w:rsidRDefault="00B42F56">
            <w:pPr>
              <w:rPr>
                <w:rFonts w:ascii="Times New Roman" w:hAnsi="Times New Roman"/>
                <w:sz w:val="1"/>
              </w:rPr>
            </w:pPr>
          </w:p>
        </w:tc>
        <w:tc>
          <w:tcPr>
            <w:tcW w:w="220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4.631.072,78</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0,00</w:t>
            </w:r>
          </w:p>
        </w:tc>
        <w:tc>
          <w:tcPr>
            <w:tcW w:w="130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791.533,57</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-791.533,57</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3.839.539,21</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3.359.160,74</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480.378,47</w:t>
            </w:r>
          </w:p>
        </w:tc>
      </w:tr>
    </w:tbl>
    <w:p w:rsidR="00B42F56" w:rsidRDefault="00B42F56">
      <w:pPr>
        <w:rPr>
          <w:rFonts w:ascii="Times New Roman" w:hAnsi="Times New Roman"/>
          <w:sz w:val="24"/>
        </w:rPr>
      </w:pPr>
    </w:p>
    <w:p w:rsidR="00B42F56" w:rsidRDefault="00B42F56">
      <w:pPr>
        <w:rPr>
          <w:color w:val="FF0000"/>
        </w:rPr>
      </w:pPr>
    </w:p>
    <w:p w:rsidR="00B42F56" w:rsidRDefault="00B42F56">
      <w:pPr>
        <w:jc w:val="both"/>
      </w:pPr>
    </w:p>
    <w:p w:rsidR="00B42F56" w:rsidRDefault="00691D98">
      <w:pPr>
        <w:jc w:val="both"/>
      </w:pPr>
      <w:r>
        <w:t>Il calcolo del fondo crediti di dubbia esigibilità segue le modalità previste dal Legislatore all’esempio 5 dell’allegato 4/2, che recita: “</w:t>
      </w:r>
      <w:r>
        <w:rPr>
          <w:i/>
        </w:rPr>
        <w:t xml:space="preserve">[…]. In occasione della redazione del rendiconto è verificata la congruità del fondo crediti di dubbia esigibilità accantonata nel risultato di amministrazione, facendo riferimento all’importo complessivo dei residui attivi, sia di competenza dell’esercizio cui si riferisce il rendiconto, sia degli esercizi precedenti. </w:t>
      </w:r>
    </w:p>
    <w:p w:rsidR="00B42F56" w:rsidRDefault="00B42F56">
      <w:pPr>
        <w:jc w:val="both"/>
      </w:pPr>
    </w:p>
    <w:p w:rsidR="00B42F56" w:rsidRDefault="00691D98">
      <w:pPr>
        <w:jc w:val="both"/>
      </w:pPr>
      <w:r>
        <w:t xml:space="preserve">In occasione del </w:t>
      </w:r>
      <w:proofErr w:type="spellStart"/>
      <w:r>
        <w:t>riaccertamento</w:t>
      </w:r>
      <w:proofErr w:type="spellEnd"/>
      <w:r>
        <w:t xml:space="preserve"> ordinario, previsto dal par. 9.1 del Principio Contabile Applicato della Contabilit</w:t>
      </w:r>
      <w:r w:rsidR="00606FCF">
        <w:t xml:space="preserve">à Finanziaria, il Comune </w:t>
      </w:r>
      <w:r>
        <w:t xml:space="preserve"> ha applicato in modo puntuale il principio generale della Competenza Finanziaria c.d. Potenziata, stralciando dal conto del bilancio tutti gli impegni ed accertamenti che non sotto-tendono ad obbligazioni giuridicamente perfezionate ed esigibili.</w:t>
      </w:r>
    </w:p>
    <w:p w:rsidR="00B42F56" w:rsidRDefault="00B42F56">
      <w:pPr>
        <w:jc w:val="both"/>
      </w:pPr>
    </w:p>
    <w:p w:rsidR="00B42F56" w:rsidRDefault="00691D98">
      <w:pPr>
        <w:jc w:val="both"/>
      </w:pPr>
      <w:r>
        <w:t xml:space="preserve">Lo stock di residui attivi  </w:t>
      </w:r>
      <w:r w:rsidR="00606FCF">
        <w:t xml:space="preserve"> è rappresentato  per circa il </w:t>
      </w:r>
      <w:r w:rsidR="005A59DD">
        <w:t xml:space="preserve">  </w:t>
      </w:r>
      <w:proofErr w:type="spellStart"/>
      <w:r w:rsidR="005A59DD">
        <w:t>il</w:t>
      </w:r>
      <w:proofErr w:type="spellEnd"/>
      <w:r w:rsidR="005A59DD">
        <w:t xml:space="preserve"> 47,71 % da crediti  tributari  (tari  , </w:t>
      </w:r>
      <w:proofErr w:type="spellStart"/>
      <w:r w:rsidR="005A59DD">
        <w:t>imu</w:t>
      </w:r>
      <w:proofErr w:type="spellEnd"/>
      <w:r w:rsidR="005A59DD">
        <w:t>, imposta di pubblicità)  per  l 8,35% da</w:t>
      </w:r>
      <w:r w:rsidR="004A2E7D">
        <w:t xml:space="preserve">  proventi per violazioni al </w:t>
      </w:r>
      <w:proofErr w:type="spellStart"/>
      <w:r w:rsidR="004A2E7D">
        <w:t>cds</w:t>
      </w:r>
      <w:proofErr w:type="spellEnd"/>
      <w:r w:rsidR="004A2E7D">
        <w:t xml:space="preserve">  ,, dal 43,71% da trasferimenti da altri soggetti ( stato  , regione ) legati  a stati avanzamenti lavori </w:t>
      </w:r>
      <w:r w:rsidR="004A2E7D">
        <w:lastRenderedPageBreak/>
        <w:t xml:space="preserve">o rendicontazione interventi finanziati e circa lo 0,22 da partite giro , per tutti i residui derivanti da entrate tributarie e </w:t>
      </w:r>
      <w:proofErr w:type="spellStart"/>
      <w:r w:rsidR="004A2E7D">
        <w:t>extratributaria</w:t>
      </w:r>
      <w:proofErr w:type="spellEnd"/>
      <w:r w:rsidR="004A2E7D">
        <w:t xml:space="preserve">  l’ente ha accantonato   al fondo  crediti di dubbia </w:t>
      </w:r>
      <w:r>
        <w:t>Esigibilità in maniera anche superiore rispetto al</w:t>
      </w:r>
      <w:r w:rsidR="004A2E7D">
        <w:t xml:space="preserve"> minimo imposto dalla normativa, al fine di tutelare  maggiormente gli equilibri di bilancio . accantonando le risultanze del calcolo  sull’avanzo di amministrazione risultante al 31 12 2019.</w:t>
      </w:r>
      <w:r w:rsidR="00AC4543">
        <w:t xml:space="preserve">  Si osserva un aumento  rispetto allo stock iniziale  di circa  25,74% dovuto   all’aumento dei residui  attivi da trasferimenti in conto capitale  ( da </w:t>
      </w:r>
      <w:r w:rsidR="00AC4543">
        <w:rPr>
          <w:rFonts w:ascii="Tahoma" w:hAnsi="Tahoma"/>
          <w:color w:val="000000"/>
          <w:sz w:val="16"/>
        </w:rPr>
        <w:t>1.763.000,00 a  4.898.018,08)</w:t>
      </w:r>
    </w:p>
    <w:p w:rsidR="00B42F56" w:rsidRDefault="00B42F56"/>
    <w:tbl>
      <w:tblPr>
        <w:tblW w:w="0" w:type="auto"/>
        <w:tblCellMar>
          <w:left w:w="0" w:type="dxa"/>
          <w:right w:w="0" w:type="dxa"/>
        </w:tblCellMar>
        <w:tblLook w:val="04A0" w:firstRow="1" w:lastRow="0" w:firstColumn="1" w:lastColumn="0" w:noHBand="0" w:noVBand="1"/>
      </w:tblPr>
      <w:tblGrid>
        <w:gridCol w:w="30"/>
        <w:gridCol w:w="315"/>
        <w:gridCol w:w="3225"/>
        <w:gridCol w:w="1320"/>
        <w:gridCol w:w="1335"/>
        <w:gridCol w:w="1320"/>
        <w:gridCol w:w="1320"/>
        <w:gridCol w:w="1335"/>
        <w:gridCol w:w="1320"/>
      </w:tblGrid>
      <w:tr w:rsidR="00B42F56">
        <w:trPr>
          <w:trHeight w:hRule="exact" w:val="15"/>
        </w:trPr>
        <w:tc>
          <w:tcPr>
            <w:tcW w:w="30" w:type="dxa"/>
          </w:tcPr>
          <w:p w:rsidR="00B42F56" w:rsidRDefault="00B42F56">
            <w:pPr>
              <w:rPr>
                <w:rFonts w:ascii="Times New Roman" w:hAnsi="Times New Roman"/>
                <w:sz w:val="1"/>
              </w:rPr>
            </w:pPr>
          </w:p>
        </w:tc>
        <w:tc>
          <w:tcPr>
            <w:tcW w:w="11490" w:type="dxa"/>
            <w:gridSpan w:val="8"/>
          </w:tcPr>
          <w:p w:rsidR="00B42F56" w:rsidRDefault="00B42F56">
            <w:pPr>
              <w:rPr>
                <w:rFonts w:ascii="Times New Roman" w:hAnsi="Times New Roman"/>
                <w:sz w:val="1"/>
              </w:rPr>
            </w:pPr>
          </w:p>
        </w:tc>
      </w:tr>
      <w:tr w:rsidR="00B42F56">
        <w:trPr>
          <w:trHeight w:val="525"/>
        </w:trPr>
        <w:tc>
          <w:tcPr>
            <w:tcW w:w="30" w:type="dxa"/>
          </w:tcPr>
          <w:p w:rsidR="00B42F56" w:rsidRDefault="00B42F56">
            <w:pPr>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Anzianità dei residui attivi al 31/12/2019</w:t>
            </w:r>
          </w:p>
        </w:tc>
      </w:tr>
      <w:tr w:rsidR="00B42F56">
        <w:trPr>
          <w:trHeight w:val="450"/>
        </w:trPr>
        <w:tc>
          <w:tcPr>
            <w:tcW w:w="30" w:type="dxa"/>
          </w:tcPr>
          <w:p w:rsidR="00B42F56" w:rsidRDefault="00B42F56">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Totale</w:t>
            </w:r>
          </w:p>
        </w:tc>
      </w:tr>
      <w:tr w:rsidR="00B42F56">
        <w:trPr>
          <w:trHeight w:val="45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941.557,53</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273.374,98</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389.357,15</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363.796,08</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426.845,27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2.394.931,01</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40.000,00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50,00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108.342,19</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148.392,19</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3</w:t>
            </w:r>
          </w:p>
        </w:tc>
        <w:tc>
          <w:tcPr>
            <w:tcW w:w="3225"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208.854,52</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111.953,67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13.322,76</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10.419,96</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118.716,34</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463.267,25</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4</w:t>
            </w:r>
          </w:p>
        </w:tc>
        <w:tc>
          <w:tcPr>
            <w:tcW w:w="3225"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663.547,00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2.213,00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894.240,00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203.000,00</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3.135.018,08</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4.898.018,08</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9</w:t>
            </w:r>
          </w:p>
        </w:tc>
        <w:tc>
          <w:tcPr>
            <w:tcW w:w="3225"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8.511,92</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450,00</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6.768,18</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15.730,10</w:t>
            </w:r>
          </w:p>
        </w:tc>
      </w:tr>
      <w:tr w:rsidR="00B42F56">
        <w:trPr>
          <w:trHeight w:val="360"/>
        </w:trPr>
        <w:tc>
          <w:tcPr>
            <w:tcW w:w="30" w:type="dxa"/>
          </w:tcPr>
          <w:p w:rsidR="00B42F56" w:rsidRDefault="00B42F56">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1.853.959,05</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396.053,57</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1.296.919,91</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577.716,04</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3.795.690,06</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7.920.338,63</w:t>
            </w:r>
          </w:p>
        </w:tc>
      </w:tr>
    </w:tbl>
    <w:p w:rsidR="00B42F56" w:rsidRDefault="00B42F56">
      <w:pPr>
        <w:rPr>
          <w:rFonts w:ascii="Times New Roman" w:hAnsi="Times New Roman"/>
          <w:sz w:val="24"/>
        </w:rPr>
      </w:pPr>
    </w:p>
    <w:p w:rsidR="00B42F56" w:rsidRDefault="00B42F56">
      <w:pPr>
        <w:rPr>
          <w:color w:val="FF0000"/>
        </w:rPr>
      </w:pPr>
    </w:p>
    <w:p w:rsidR="00B42F56" w:rsidRDefault="00B42F56">
      <w:pPr>
        <w:rPr>
          <w:color w:val="FF0000"/>
        </w:rPr>
      </w:pPr>
    </w:p>
    <w:tbl>
      <w:tblPr>
        <w:tblW w:w="0" w:type="auto"/>
        <w:tblCellMar>
          <w:left w:w="0" w:type="dxa"/>
          <w:right w:w="0" w:type="dxa"/>
        </w:tblCellMar>
        <w:tblLook w:val="04A0" w:firstRow="1" w:lastRow="0" w:firstColumn="1" w:lastColumn="0" w:noHBand="0" w:noVBand="1"/>
      </w:tblPr>
      <w:tblGrid>
        <w:gridCol w:w="30"/>
        <w:gridCol w:w="315"/>
        <w:gridCol w:w="3225"/>
        <w:gridCol w:w="1320"/>
        <w:gridCol w:w="1335"/>
        <w:gridCol w:w="1320"/>
        <w:gridCol w:w="1320"/>
        <w:gridCol w:w="1335"/>
        <w:gridCol w:w="1320"/>
      </w:tblGrid>
      <w:tr w:rsidR="00B42F56">
        <w:trPr>
          <w:trHeight w:hRule="exact" w:val="15"/>
        </w:trPr>
        <w:tc>
          <w:tcPr>
            <w:tcW w:w="30" w:type="dxa"/>
          </w:tcPr>
          <w:p w:rsidR="00B42F56" w:rsidRDefault="00B42F56">
            <w:pPr>
              <w:rPr>
                <w:rFonts w:ascii="Times New Roman" w:hAnsi="Times New Roman"/>
                <w:sz w:val="1"/>
              </w:rPr>
            </w:pPr>
          </w:p>
        </w:tc>
        <w:tc>
          <w:tcPr>
            <w:tcW w:w="11490" w:type="dxa"/>
            <w:gridSpan w:val="8"/>
          </w:tcPr>
          <w:p w:rsidR="00B42F56" w:rsidRDefault="00B42F56">
            <w:pPr>
              <w:rPr>
                <w:rFonts w:ascii="Times New Roman" w:hAnsi="Times New Roman"/>
                <w:sz w:val="1"/>
              </w:rPr>
            </w:pPr>
          </w:p>
        </w:tc>
      </w:tr>
      <w:tr w:rsidR="00B42F56">
        <w:trPr>
          <w:trHeight w:val="525"/>
        </w:trPr>
        <w:tc>
          <w:tcPr>
            <w:tcW w:w="30" w:type="dxa"/>
          </w:tcPr>
          <w:p w:rsidR="00B42F56" w:rsidRDefault="00B42F56">
            <w:pPr>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28"/>
              <w:jc w:val="center"/>
              <w:rPr>
                <w:rFonts w:ascii="Tahoma" w:hAnsi="Tahoma"/>
                <w:b/>
                <w:color w:val="191970"/>
                <w:sz w:val="24"/>
              </w:rPr>
            </w:pPr>
            <w:r>
              <w:rPr>
                <w:rFonts w:ascii="Tahoma" w:hAnsi="Tahoma"/>
                <w:b/>
                <w:color w:val="191970"/>
                <w:sz w:val="24"/>
              </w:rPr>
              <w:t>Anzianità dei residui passivi al 31/12/2019</w:t>
            </w:r>
          </w:p>
        </w:tc>
      </w:tr>
      <w:tr w:rsidR="00B42F56">
        <w:trPr>
          <w:trHeight w:val="450"/>
        </w:trPr>
        <w:tc>
          <w:tcPr>
            <w:tcW w:w="30" w:type="dxa"/>
          </w:tcPr>
          <w:p w:rsidR="00B42F56" w:rsidRDefault="00B42F56">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6"/>
              </w:rPr>
            </w:pPr>
            <w:r>
              <w:rPr>
                <w:rFonts w:ascii="Tahoma" w:hAnsi="Tahoma"/>
                <w:b/>
                <w:color w:val="000000"/>
                <w:sz w:val="16"/>
              </w:rPr>
              <w:t>Totale</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253.050,17</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23.238,25</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16.900,26</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41.997,65</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1.533.589,27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1.868.775,60</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16.329,81</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9.259,60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30.761,26</w:t>
            </w:r>
          </w:p>
        </w:tc>
        <w:tc>
          <w:tcPr>
            <w:tcW w:w="1335"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655.215,87</w:t>
            </w:r>
          </w:p>
        </w:tc>
        <w:tc>
          <w:tcPr>
            <w:tcW w:w="132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6"/>
              </w:rPr>
            </w:pPr>
            <w:r>
              <w:rPr>
                <w:rFonts w:ascii="Tahoma" w:hAnsi="Tahoma"/>
                <w:color w:val="000000"/>
                <w:sz w:val="16"/>
              </w:rPr>
              <w:t>711.566,54</w:t>
            </w:r>
          </w:p>
        </w:tc>
      </w:tr>
      <w:tr w:rsidR="00B42F56">
        <w:trPr>
          <w:trHeight w:val="360"/>
        </w:trPr>
        <w:tc>
          <w:tcPr>
            <w:tcW w:w="30" w:type="dxa"/>
          </w:tcPr>
          <w:p w:rsidR="00B42F56" w:rsidRDefault="00B42F56">
            <w:pPr>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7</w:t>
            </w:r>
          </w:p>
        </w:tc>
        <w:tc>
          <w:tcPr>
            <w:tcW w:w="3225" w:type="dxa"/>
            <w:tcBorders>
              <w:top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150,00</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30.219,47</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27.517,50</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30.954,50</w:t>
            </w:r>
          </w:p>
        </w:tc>
        <w:tc>
          <w:tcPr>
            <w:tcW w:w="1335"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7.537,58</w:t>
            </w:r>
          </w:p>
        </w:tc>
        <w:tc>
          <w:tcPr>
            <w:tcW w:w="132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96.379,05</w:t>
            </w:r>
          </w:p>
        </w:tc>
      </w:tr>
      <w:tr w:rsidR="00B42F56">
        <w:trPr>
          <w:trHeight w:val="360"/>
        </w:trPr>
        <w:tc>
          <w:tcPr>
            <w:tcW w:w="30" w:type="dxa"/>
          </w:tcPr>
          <w:p w:rsidR="00B42F56" w:rsidRDefault="00B42F56">
            <w:pPr>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269.529,98</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62.717,32</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44.417,76</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103.713,41</w:t>
            </w:r>
          </w:p>
        </w:tc>
        <w:tc>
          <w:tcPr>
            <w:tcW w:w="1335"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2.196.342,72</w:t>
            </w:r>
          </w:p>
        </w:tc>
        <w:tc>
          <w:tcPr>
            <w:tcW w:w="1320" w:type="dxa"/>
            <w:tcBorders>
              <w:top w:val="single" w:sz="6" w:space="0" w:color="000000"/>
              <w:bottom w:val="single" w:sz="6" w:space="0" w:color="000000"/>
              <w:right w:val="single" w:sz="6" w:space="0" w:color="000000"/>
            </w:tcBorders>
            <w:shd w:val="clear" w:color="auto" w:fill="B0C4DE"/>
            <w:vAlign w:val="center"/>
          </w:tcPr>
          <w:p w:rsidR="00B42F56" w:rsidRDefault="00691D98">
            <w:pPr>
              <w:ind w:right="72"/>
              <w:jc w:val="right"/>
              <w:rPr>
                <w:rFonts w:ascii="Tahoma" w:hAnsi="Tahoma"/>
                <w:color w:val="191970"/>
                <w:sz w:val="16"/>
              </w:rPr>
            </w:pPr>
            <w:r>
              <w:rPr>
                <w:rFonts w:ascii="Tahoma" w:hAnsi="Tahoma"/>
                <w:color w:val="191970"/>
                <w:sz w:val="16"/>
              </w:rPr>
              <w:t>2.676.721,19</w:t>
            </w:r>
          </w:p>
        </w:tc>
      </w:tr>
    </w:tbl>
    <w:p w:rsidR="00B42F56" w:rsidRDefault="00B42F56">
      <w:pPr>
        <w:rPr>
          <w:rFonts w:ascii="Times New Roman" w:hAnsi="Times New Roman"/>
          <w:sz w:val="24"/>
        </w:rPr>
      </w:pPr>
    </w:p>
    <w:p w:rsidR="00B42F56" w:rsidRDefault="00B42F56">
      <w:pPr>
        <w:rPr>
          <w:color w:val="FF0000"/>
        </w:rPr>
      </w:pPr>
    </w:p>
    <w:p w:rsidR="00B42F56" w:rsidRPr="00304018" w:rsidRDefault="004A2E7D">
      <w:r w:rsidRPr="007016A6">
        <w:t xml:space="preserve">il  totale dei  </w:t>
      </w:r>
      <w:r w:rsidRPr="004A2E7D">
        <w:t>residui passivi</w:t>
      </w:r>
      <w:r>
        <w:t xml:space="preserve">  registra un miglioramento passando da uno stock iniziale  </w:t>
      </w:r>
      <w:r w:rsidRPr="007016A6">
        <w:t xml:space="preserve">di </w:t>
      </w:r>
      <w:r w:rsidRPr="00304018">
        <w:rPr>
          <w:rFonts w:ascii="Tahoma" w:hAnsi="Tahoma"/>
          <w:sz w:val="16"/>
        </w:rPr>
        <w:t xml:space="preserve">4.631.072,78  a  </w:t>
      </w:r>
      <w:r w:rsidR="007016A6" w:rsidRPr="00304018">
        <w:rPr>
          <w:rFonts w:ascii="Tahoma" w:hAnsi="Tahoma"/>
          <w:sz w:val="16"/>
        </w:rPr>
        <w:t xml:space="preserve">  </w:t>
      </w:r>
      <w:proofErr w:type="spellStart"/>
      <w:r w:rsidR="007016A6" w:rsidRPr="00304018">
        <w:rPr>
          <w:rFonts w:ascii="Tahoma" w:hAnsi="Tahoma"/>
          <w:sz w:val="16"/>
        </w:rPr>
        <w:t>a</w:t>
      </w:r>
      <w:proofErr w:type="spellEnd"/>
      <w:r w:rsidR="007016A6" w:rsidRPr="00304018">
        <w:rPr>
          <w:rFonts w:ascii="Tahoma" w:hAnsi="Tahoma"/>
          <w:sz w:val="16"/>
        </w:rPr>
        <w:t xml:space="preserve">  2.676.721,19  per effetto della smaltimento  degli </w:t>
      </w:r>
      <w:r w:rsidR="00304018">
        <w:rPr>
          <w:rFonts w:ascii="Tahoma" w:hAnsi="Tahoma"/>
          <w:sz w:val="16"/>
        </w:rPr>
        <w:t>stessi  ,( ne  sono stati pagati i</w:t>
      </w:r>
      <w:r w:rsidR="007016A6" w:rsidRPr="00304018">
        <w:rPr>
          <w:rFonts w:ascii="Tahoma" w:hAnsi="Tahoma"/>
          <w:sz w:val="16"/>
        </w:rPr>
        <w:t xml:space="preserve"> 3.359.160,74 </w:t>
      </w:r>
      <w:r w:rsidR="00304018">
        <w:rPr>
          <w:rFonts w:ascii="Tahoma" w:hAnsi="Tahoma"/>
          <w:sz w:val="16"/>
        </w:rPr>
        <w:t xml:space="preserve"> euro )</w:t>
      </w:r>
      <w:r w:rsidR="007016A6" w:rsidRPr="00304018">
        <w:rPr>
          <w:rFonts w:ascii="Tahoma" w:hAnsi="Tahoma"/>
          <w:sz w:val="16"/>
        </w:rPr>
        <w:t xml:space="preserve"> e della revisione  ordinaria dei residui  che ha stralciato dal conti di bilancio  791.533,57 per debiti </w:t>
      </w:r>
      <w:r w:rsidR="005428AC" w:rsidRPr="00304018">
        <w:rPr>
          <w:rFonts w:ascii="Tahoma" w:hAnsi="Tahoma"/>
          <w:sz w:val="16"/>
        </w:rPr>
        <w:t xml:space="preserve">  risultati inesigibili</w:t>
      </w:r>
      <w:r w:rsidR="00304018">
        <w:rPr>
          <w:rFonts w:ascii="Tahoma" w:hAnsi="Tahoma"/>
          <w:sz w:val="16"/>
        </w:rPr>
        <w:t>, e di contro   sono stati  contenuti quelli di nuova formazione del  32.38%</w:t>
      </w:r>
    </w:p>
    <w:p w:rsidR="00B42F56" w:rsidRDefault="00691D98">
      <w:r>
        <w:br w:type="page"/>
      </w:r>
    </w:p>
    <w:p w:rsidR="00B42F56" w:rsidRDefault="00691D98">
      <w:pPr>
        <w:pStyle w:val="Titolo2"/>
      </w:pPr>
      <w:bookmarkStart w:id="3" w:name="_Toc477717553"/>
      <w:r>
        <w:lastRenderedPageBreak/>
        <w:t>LA GESTIONE DI CASSA</w:t>
      </w:r>
      <w:bookmarkEnd w:id="3"/>
    </w:p>
    <w:p w:rsidR="00B42F56" w:rsidRDefault="00B42F56"/>
    <w:p w:rsidR="00B42F56" w:rsidRDefault="00691D98" w:rsidP="005E0B67">
      <w:pPr>
        <w:jc w:val="both"/>
      </w:pPr>
      <w:r>
        <w:t xml:space="preserve">La gestione di cassa, </w:t>
      </w:r>
      <w:r w:rsidR="00593AB4">
        <w:t>ha evidenziato una crescita del fondo cassa finale del 7, 9% circa pari a  2.510.131,97 euro  determinato in 37.915.425,82 di  cui 976.338,09 vincolato in quanto relativo a trasferimenti vincolati .  detta liquidità derivante dalla buona capacità  dell’ Ente di riscuotere i propri  credit</w:t>
      </w:r>
      <w:r w:rsidR="00C76C0A">
        <w:t xml:space="preserve">, ciò </w:t>
      </w:r>
      <w:r w:rsidR="00593AB4">
        <w:t xml:space="preserve"> consente   </w:t>
      </w:r>
      <w:r w:rsidR="00C76C0A">
        <w:t xml:space="preserve">di far  fronte  ai propri  debiti  rispettando i termini di pagamento entro i limiti fissati dalla normativa nazionale ed europea </w:t>
      </w:r>
      <w:r w:rsidR="00A051B0">
        <w:t xml:space="preserve">  che per ente si è attestato in  3 giorni dalla data di scadenza della fattura ( i dati sono stati regolarmente  pubblicati sul sito amministrazione trasparente nella sezione pagamenti)</w:t>
      </w:r>
    </w:p>
    <w:p w:rsidR="00B42F56" w:rsidRDefault="00B42F56">
      <w:pPr>
        <w:jc w:val="both"/>
      </w:pPr>
    </w:p>
    <w:p w:rsidR="00B42F56" w:rsidRDefault="00691D98">
      <w:pPr>
        <w:jc w:val="both"/>
      </w:pPr>
      <w:r>
        <w:t>.</w:t>
      </w:r>
    </w:p>
    <w:p w:rsidR="00B42F56" w:rsidRDefault="00B42F56">
      <w:pPr>
        <w:jc w:val="both"/>
      </w:pPr>
    </w:p>
    <w:p w:rsidR="00B42F56" w:rsidRDefault="00B42F56">
      <w:pPr>
        <w:jc w:val="both"/>
      </w:pPr>
    </w:p>
    <w:p w:rsidR="00B42F56" w:rsidRDefault="00691D98">
      <w:pPr>
        <w:rPr>
          <w:rFonts w:ascii="Times New Roman" w:hAnsi="Times New Roman"/>
          <w:sz w:val="24"/>
        </w:rPr>
      </w:pPr>
      <w:r>
        <w:rPr>
          <w:noProof/>
        </w:rPr>
        <w:drawing>
          <wp:inline distT="0" distB="0" distL="0" distR="0">
            <wp:extent cx="7324725" cy="36480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7324725" cy="3648075"/>
                    </a:xfrm>
                    <a:prstGeom prst="rect">
                      <a:avLst/>
                    </a:prstGeom>
                    <a:noFill/>
                  </pic:spPr>
                </pic:pic>
              </a:graphicData>
            </a:graphic>
          </wp:inline>
        </w:drawing>
      </w:r>
    </w:p>
    <w:p w:rsidR="00B42F56" w:rsidRDefault="00B42F56"/>
    <w:p w:rsidR="00B42F56" w:rsidRDefault="00691D98">
      <w:pPr>
        <w:jc w:val="both"/>
      </w:pPr>
      <w:r>
        <w:br w:type="page"/>
      </w:r>
    </w:p>
    <w:p w:rsidR="00B42F56" w:rsidRDefault="00691D98">
      <w:pPr>
        <w:pStyle w:val="Titolo2"/>
      </w:pPr>
      <w:bookmarkStart w:id="4" w:name="_Toc477717554"/>
      <w:r>
        <w:lastRenderedPageBreak/>
        <w:t>SALDI FINANZA PUBBLICA</w:t>
      </w:r>
      <w:bookmarkEnd w:id="4"/>
    </w:p>
    <w:p w:rsidR="00B42F56" w:rsidRDefault="00B42F56"/>
    <w:p w:rsidR="00B42F56" w:rsidRDefault="00691D98">
      <w:pPr>
        <w:jc w:val="both"/>
      </w:pPr>
      <w:r>
        <w:t>Nel corso dell’esercizio 201</w:t>
      </w:r>
      <w:r w:rsidR="00207B5C">
        <w:t xml:space="preserve">6 il Comune </w:t>
      </w:r>
      <w:r>
        <w:t>ha rispettato i Vincoli di Finanza Pubblica, introdotti dall’art. 1 commi 709 e seguenti della Legge 208/2015, come dettagliatamente indicato nella seguente tabella:</w:t>
      </w:r>
    </w:p>
    <w:tbl>
      <w:tblPr>
        <w:tblW w:w="0" w:type="auto"/>
        <w:tblInd w:w="7" w:type="dxa"/>
        <w:tblCellMar>
          <w:left w:w="0" w:type="dxa"/>
          <w:right w:w="0" w:type="dxa"/>
        </w:tblCellMar>
        <w:tblLook w:val="04A0" w:firstRow="1" w:lastRow="0" w:firstColumn="1" w:lastColumn="0" w:noHBand="0" w:noVBand="1"/>
      </w:tblPr>
      <w:tblGrid>
        <w:gridCol w:w="7800"/>
        <w:gridCol w:w="360"/>
        <w:gridCol w:w="1230"/>
        <w:gridCol w:w="360"/>
        <w:gridCol w:w="1677"/>
      </w:tblGrid>
      <w:tr w:rsidR="00B42F56">
        <w:trPr>
          <w:trHeight w:val="915"/>
        </w:trPr>
        <w:tc>
          <w:tcPr>
            <w:tcW w:w="11340" w:type="dxa"/>
            <w:gridSpan w:val="5"/>
            <w:tcBorders>
              <w:top w:val="single" w:sz="6" w:space="0" w:color="000000"/>
              <w:left w:val="single" w:sz="6" w:space="0" w:color="000000"/>
              <w:right w:val="single" w:sz="6" w:space="0" w:color="000000"/>
            </w:tcBorders>
            <w:shd w:val="clear" w:color="auto" w:fill="B0C4DE"/>
            <w:vAlign w:val="center"/>
          </w:tcPr>
          <w:p w:rsidR="00B42F56" w:rsidRDefault="00691D98">
            <w:pPr>
              <w:jc w:val="center"/>
              <w:rPr>
                <w:rFonts w:ascii="Tahoma" w:hAnsi="Tahoma"/>
                <w:b/>
                <w:color w:val="191970"/>
                <w:sz w:val="16"/>
              </w:rPr>
            </w:pPr>
            <w:r>
              <w:rPr>
                <w:rFonts w:ascii="Tahoma" w:hAnsi="Tahoma"/>
                <w:b/>
                <w:color w:val="191970"/>
                <w:sz w:val="16"/>
              </w:rPr>
              <w:t xml:space="preserve">MONITORAGGIO DELLE RISULTANZE DEL SALDO DI FINANZA PUBBLICA AI SENSI DEL COMMA 469 DELL'ARTICOLO 1 </w:t>
            </w:r>
            <w:r>
              <w:rPr>
                <w:rFonts w:ascii="Tahoma" w:hAnsi="Tahoma"/>
                <w:b/>
                <w:color w:val="191970"/>
                <w:sz w:val="16"/>
              </w:rPr>
              <w:br/>
              <w:t>DELLA LEGGE 11/12/2016, N. 232  (LEGGE DI BILANCIO 2017)</w:t>
            </w:r>
            <w:r>
              <w:rPr>
                <w:rFonts w:ascii="Tahoma" w:hAnsi="Tahoma"/>
                <w:b/>
                <w:color w:val="191970"/>
                <w:sz w:val="16"/>
              </w:rPr>
              <w:br/>
            </w:r>
            <w:r>
              <w:rPr>
                <w:rFonts w:ascii="Tahoma" w:hAnsi="Tahoma"/>
                <w:b/>
                <w:color w:val="191970"/>
                <w:sz w:val="16"/>
              </w:rPr>
              <w:br/>
              <w:t>CITTA' METROPOLITANE - PROVINCE - COMUNI</w:t>
            </w:r>
          </w:p>
        </w:tc>
      </w:tr>
      <w:tr w:rsidR="00B42F56">
        <w:trPr>
          <w:trHeight w:val="255"/>
        </w:trPr>
        <w:tc>
          <w:tcPr>
            <w:tcW w:w="11340" w:type="dxa"/>
            <w:gridSpan w:val="5"/>
            <w:tcBorders>
              <w:left w:val="single" w:sz="6" w:space="0" w:color="000000"/>
              <w:bottom w:val="single" w:sz="6" w:space="0" w:color="000000"/>
              <w:right w:val="single" w:sz="6" w:space="0" w:color="000000"/>
            </w:tcBorders>
            <w:shd w:val="clear" w:color="auto" w:fill="B0C4DE"/>
            <w:vAlign w:val="bottom"/>
          </w:tcPr>
          <w:p w:rsidR="00B42F56" w:rsidRDefault="00691D98">
            <w:pPr>
              <w:spacing w:after="28"/>
              <w:ind w:right="43"/>
              <w:jc w:val="right"/>
              <w:rPr>
                <w:rFonts w:ascii="Tahoma" w:hAnsi="Tahoma"/>
                <w:b/>
                <w:color w:val="191970"/>
                <w:sz w:val="14"/>
              </w:rPr>
            </w:pPr>
            <w:r>
              <w:rPr>
                <w:rFonts w:ascii="Tahoma" w:hAnsi="Tahoma"/>
                <w:b/>
                <w:color w:val="191970"/>
                <w:sz w:val="14"/>
              </w:rPr>
              <w:t>(migliaia di euro)</w:t>
            </w:r>
          </w:p>
        </w:tc>
      </w:tr>
      <w:tr w:rsidR="00B42F56">
        <w:trPr>
          <w:trHeight w:val="900"/>
        </w:trPr>
        <w:tc>
          <w:tcPr>
            <w:tcW w:w="8160" w:type="dxa"/>
            <w:gridSpan w:val="2"/>
            <w:tcBorders>
              <w:top w:val="single" w:sz="6" w:space="0" w:color="000000"/>
              <w:left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6"/>
              </w:rPr>
            </w:pP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Dati gestionali (stanziamenti FPV/ accertamenti e impegni) al 31/12/2019</w:t>
            </w:r>
          </w:p>
        </w:tc>
        <w:tc>
          <w:tcPr>
            <w:tcW w:w="159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Dati gestionali CASSA(riscossioni e pagamenti) al 31/12/2019</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A1)  Fondo pluriennale vincolato di entrata per spese correnti</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114</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A2)  Fondo pluriennale vincolato di entrata in conto capitale al netto delle quote finanziate da debito</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3.668</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9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A3)  Fondo pluriennale vincolato di entrata che finanzia gli impegni cancellati definitivamente dopo l'approvazione del rendiconto dell'anno precedente</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b/>
                <w:color w:val="000000"/>
                <w:sz w:val="13"/>
              </w:rPr>
            </w:pPr>
            <w:r>
              <w:rPr>
                <w:rFonts w:ascii="Tahoma" w:hAnsi="Tahoma"/>
                <w:b/>
                <w:color w:val="000000"/>
                <w:sz w:val="13"/>
              </w:rPr>
              <w:t>A)  Fondo pluriennale vincolato di entrata (A1 + A2 - A3)</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b/>
                <w:color w:val="000000"/>
                <w:sz w:val="13"/>
              </w:rPr>
            </w:pP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3"/>
              </w:rPr>
            </w:pPr>
            <w:r>
              <w:rPr>
                <w:rFonts w:ascii="Tahoma" w:hAnsi="Tahoma"/>
                <w:b/>
                <w:color w:val="000000"/>
                <w:sz w:val="13"/>
              </w:rPr>
              <w:t>3.782</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b/>
                <w:color w:val="000000"/>
                <w:sz w:val="13"/>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B)  Titolo 1 - Entrate correnti di natura tributaria, contributiva e perequativa</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8.496</w:t>
            </w:r>
          </w:p>
        </w:tc>
        <w:tc>
          <w:tcPr>
            <w:tcW w:w="15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9.371</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C)  Titolo 2 - Trasferimenti correnti validi ai fini dei saldi finanza pubblica</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2.926</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2.832</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 xml:space="preserve">D)  Titolo 3 - Entrate </w:t>
            </w:r>
            <w:proofErr w:type="spellStart"/>
            <w:r>
              <w:rPr>
                <w:rFonts w:ascii="Tahoma" w:hAnsi="Tahoma"/>
                <w:color w:val="000000"/>
                <w:sz w:val="13"/>
              </w:rPr>
              <w:t>extratributarie</w:t>
            </w:r>
            <w:proofErr w:type="spellEnd"/>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377</w:t>
            </w:r>
          </w:p>
        </w:tc>
        <w:tc>
          <w:tcPr>
            <w:tcW w:w="15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280</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E)  Titolo 4 - Entrate in c/capitale</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3.182</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477</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F)  Titolo 5 - Entrate da riduzione di attività finanziarie</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b/>
                <w:color w:val="000000"/>
                <w:sz w:val="13"/>
              </w:rPr>
            </w:pPr>
            <w:r>
              <w:rPr>
                <w:rFonts w:ascii="Tahoma" w:hAnsi="Tahoma"/>
                <w:b/>
                <w:color w:val="000000"/>
                <w:sz w:val="13"/>
              </w:rPr>
              <w:t>G)  SPAZI FINANZIARI ACQUISITI</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b/>
                <w:color w:val="000000"/>
                <w:sz w:val="13"/>
              </w:rPr>
            </w:pPr>
            <w:r>
              <w:rPr>
                <w:rFonts w:ascii="Tahoma" w:hAnsi="Tahoma"/>
                <w:b/>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b/>
                <w:color w:val="000000"/>
                <w:sz w:val="13"/>
              </w:rPr>
            </w:pP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b/>
                <w:color w:val="000000"/>
                <w:sz w:val="13"/>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H1)  Titolo 1 - Spese correnti al netto del fondo pluriennale vincolato</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7.913</w:t>
            </w:r>
          </w:p>
        </w:tc>
        <w:tc>
          <w:tcPr>
            <w:tcW w:w="15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8.815</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H2)  Fondo pluriennale vincolato di parte corrente (dal 2020 quota finanziata da entrate finali)</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130</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H3)  Fondo crediti di dubbia esigibilità di parte corrente</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H4)  Fondo contenzioso (destinato a confluire nel risultato di amministrazione)</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H5)  Altri accantonamenti (destinati a confluire nel risultato di amministrazione)</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b/>
                <w:color w:val="000000"/>
                <w:sz w:val="13"/>
              </w:rPr>
            </w:pPr>
            <w:r>
              <w:rPr>
                <w:rFonts w:ascii="Tahoma" w:hAnsi="Tahoma"/>
                <w:b/>
                <w:color w:val="000000"/>
                <w:sz w:val="13"/>
              </w:rPr>
              <w:t>H)  Titolo 1 - Spese correnti valide ai fini dei saldi di finanza pubblica (H=H1+H2-H3-H4-H5)</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b/>
                <w:color w:val="000000"/>
                <w:sz w:val="13"/>
              </w:rPr>
            </w:pPr>
            <w:r>
              <w:rPr>
                <w:rFonts w:ascii="Tahoma" w:hAnsi="Tahoma"/>
                <w:b/>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E954A1">
            <w:pPr>
              <w:ind w:right="72"/>
              <w:jc w:val="right"/>
              <w:rPr>
                <w:rFonts w:ascii="Tahoma" w:hAnsi="Tahoma"/>
                <w:b/>
                <w:color w:val="000000"/>
                <w:sz w:val="13"/>
              </w:rPr>
            </w:pPr>
            <w:r>
              <w:rPr>
                <w:rFonts w:ascii="Tahoma" w:hAnsi="Tahoma"/>
                <w:b/>
                <w:color w:val="000000"/>
                <w:sz w:val="13"/>
              </w:rPr>
              <w:t>8043</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3"/>
              </w:rPr>
            </w:pPr>
            <w:r>
              <w:rPr>
                <w:rFonts w:ascii="Tahoma" w:hAnsi="Tahoma"/>
                <w:b/>
                <w:color w:val="000000"/>
                <w:sz w:val="13"/>
              </w:rPr>
              <w:t>8.815</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I1)  Titolo 2 - Spese in c/capitale al netto del fondo pluriennale vincolato</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1.390</w:t>
            </w:r>
          </w:p>
        </w:tc>
        <w:tc>
          <w:tcPr>
            <w:tcW w:w="1590" w:type="dxa"/>
            <w:tcBorders>
              <w:top w:val="single" w:sz="6" w:space="0" w:color="000000"/>
              <w:bottom w:val="single" w:sz="6" w:space="0" w:color="000000"/>
              <w:right w:val="single" w:sz="6" w:space="0" w:color="000000"/>
            </w:tcBorders>
            <w:vAlign w:val="center"/>
          </w:tcPr>
          <w:p w:rsidR="00B42F56" w:rsidRDefault="00691D98">
            <w:pPr>
              <w:ind w:right="72"/>
              <w:jc w:val="right"/>
              <w:rPr>
                <w:rFonts w:ascii="Tahoma" w:hAnsi="Tahoma"/>
                <w:color w:val="000000"/>
                <w:sz w:val="15"/>
              </w:rPr>
            </w:pPr>
            <w:r>
              <w:rPr>
                <w:rFonts w:ascii="Tahoma" w:hAnsi="Tahoma"/>
                <w:color w:val="000000"/>
                <w:sz w:val="15"/>
              </w:rPr>
              <w:t>1.652</w:t>
            </w: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I2)  Fondo pluriennale vincolato in c/capitale al netto delle quote finanziate da debito</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color w:val="000000"/>
                <w:sz w:val="15"/>
              </w:rPr>
            </w:pPr>
            <w:r>
              <w:rPr>
                <w:rFonts w:ascii="Tahoma" w:hAnsi="Tahoma"/>
                <w:color w:val="000000"/>
                <w:sz w:val="15"/>
              </w:rPr>
              <w:t>3.393</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I3)  Fondo crediti di dubbia esigibilità in c/capitale</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I4)  Altri accantonamenti (destinati a confluire nel risultato di amministrazione)</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I)  Titolo 2 - Spese in c/capitale valide ai fini dei saldi di finanza pubblica  (I=I1+I2-I3-I4)</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E954A1">
            <w:pPr>
              <w:ind w:right="72"/>
              <w:jc w:val="right"/>
              <w:rPr>
                <w:rFonts w:ascii="Tahoma" w:hAnsi="Tahoma"/>
                <w:color w:val="000000"/>
                <w:sz w:val="15"/>
              </w:rPr>
            </w:pPr>
            <w:r>
              <w:rPr>
                <w:rFonts w:ascii="Tahoma" w:hAnsi="Tahoma"/>
                <w:color w:val="000000"/>
                <w:sz w:val="15"/>
              </w:rPr>
              <w:t xml:space="preserve"> 4783</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color w:val="000000"/>
                <w:sz w:val="13"/>
              </w:rPr>
            </w:pPr>
            <w:r>
              <w:rPr>
                <w:rFonts w:ascii="Tahoma" w:hAnsi="Tahoma"/>
                <w:color w:val="000000"/>
                <w:sz w:val="13"/>
              </w:rPr>
              <w:t>L)  Titolo 3 - Spese per incremento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M)  SPAZI FINANZIARI CEDUTI</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75"/>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b/>
                <w:color w:val="000000"/>
                <w:sz w:val="13"/>
              </w:rPr>
            </w:pPr>
            <w:r>
              <w:rPr>
                <w:rFonts w:ascii="Tahoma" w:hAnsi="Tahoma"/>
                <w:b/>
                <w:color w:val="000000"/>
                <w:sz w:val="13"/>
              </w:rPr>
              <w:t>N)  SALDO TRA ENTRATE E SPESE FINALI VALIDE AI FINI DEI SALDI DI FINANZA PUBBLICA (N=A+B+C+D+E+F+G-H-I-L-M)</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b/>
                <w:color w:val="000000"/>
                <w:sz w:val="13"/>
              </w:rPr>
            </w:pP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b/>
                <w:color w:val="000000"/>
                <w:sz w:val="13"/>
              </w:rPr>
            </w:pP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B42F56">
            <w:pPr>
              <w:ind w:right="72"/>
              <w:jc w:val="right"/>
              <w:rPr>
                <w:rFonts w:ascii="Tahoma" w:hAnsi="Tahoma"/>
                <w:b/>
                <w:color w:val="000000"/>
                <w:sz w:val="13"/>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O)  OBIETTIVO DI SALDO FINALE DI COMPETENZA 2017</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gridSpan w:val="2"/>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360"/>
        </w:trPr>
        <w:tc>
          <w:tcPr>
            <w:tcW w:w="780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B42F56" w:rsidRDefault="00691D98">
            <w:pPr>
              <w:ind w:left="72"/>
              <w:rPr>
                <w:rFonts w:ascii="Tahoma" w:hAnsi="Tahoma"/>
                <w:b/>
                <w:color w:val="000000"/>
                <w:sz w:val="13"/>
              </w:rPr>
            </w:pPr>
            <w:r>
              <w:rPr>
                <w:rFonts w:ascii="Tahoma" w:hAnsi="Tahoma"/>
                <w:b/>
                <w:color w:val="000000"/>
                <w:sz w:val="13"/>
              </w:rPr>
              <w:t>P)  DIFFERENZA TRA IL SALDO TRA ENTRATE E SPESE FINALI E OBIETTIVO DI SALDO FINALE DI COMPETENZA (N-O)</w:t>
            </w:r>
          </w:p>
        </w:tc>
        <w:tc>
          <w:tcPr>
            <w:tcW w:w="360" w:type="dxa"/>
            <w:tcBorders>
              <w:top w:val="single" w:sz="6" w:space="0" w:color="000000"/>
              <w:bottom w:val="single" w:sz="6" w:space="0" w:color="000000"/>
              <w:right w:val="single" w:sz="6" w:space="0" w:color="000000"/>
            </w:tcBorders>
            <w:shd w:val="clear" w:color="auto" w:fill="E6E6FA"/>
            <w:vAlign w:val="center"/>
          </w:tcPr>
          <w:p w:rsidR="00B42F56" w:rsidRDefault="00B42F56">
            <w:pPr>
              <w:jc w:val="center"/>
              <w:rPr>
                <w:rFonts w:ascii="Tahoma" w:hAnsi="Tahoma"/>
                <w:b/>
                <w:color w:val="000000"/>
                <w:sz w:val="13"/>
              </w:rPr>
            </w:pPr>
          </w:p>
        </w:tc>
        <w:tc>
          <w:tcPr>
            <w:tcW w:w="1590" w:type="dxa"/>
            <w:gridSpan w:val="2"/>
            <w:tcBorders>
              <w:top w:val="single" w:sz="6" w:space="0" w:color="000000"/>
              <w:bottom w:val="single" w:sz="6" w:space="0" w:color="000000"/>
              <w:right w:val="single" w:sz="6" w:space="0" w:color="000000"/>
            </w:tcBorders>
            <w:shd w:val="clear" w:color="auto" w:fill="E6E6FA"/>
            <w:vAlign w:val="center"/>
          </w:tcPr>
          <w:p w:rsidR="00B42F56" w:rsidRDefault="00E954A1">
            <w:pPr>
              <w:ind w:right="72"/>
              <w:jc w:val="right"/>
              <w:rPr>
                <w:rFonts w:ascii="Tahoma" w:hAnsi="Tahoma"/>
                <w:b/>
                <w:color w:val="000000"/>
                <w:sz w:val="13"/>
              </w:rPr>
            </w:pPr>
            <w:r>
              <w:rPr>
                <w:rFonts w:ascii="Tahoma" w:hAnsi="Tahoma"/>
                <w:b/>
                <w:color w:val="000000"/>
                <w:sz w:val="13"/>
              </w:rPr>
              <w:t>5937</w:t>
            </w:r>
          </w:p>
        </w:tc>
        <w:tc>
          <w:tcPr>
            <w:tcW w:w="1590" w:type="dxa"/>
            <w:tcBorders>
              <w:top w:val="single" w:sz="6" w:space="0" w:color="000000"/>
              <w:bottom w:val="single" w:sz="6" w:space="0" w:color="000000"/>
              <w:right w:val="single" w:sz="6" w:space="0" w:color="000000"/>
            </w:tcBorders>
            <w:shd w:val="clear" w:color="auto" w:fill="E6E6FA"/>
            <w:vAlign w:val="center"/>
          </w:tcPr>
          <w:p w:rsidR="00B42F56" w:rsidRDefault="00691D98">
            <w:pPr>
              <w:ind w:right="72"/>
              <w:jc w:val="right"/>
              <w:rPr>
                <w:rFonts w:ascii="Tahoma" w:hAnsi="Tahoma"/>
                <w:b/>
                <w:color w:val="000000"/>
                <w:sz w:val="13"/>
              </w:rPr>
            </w:pPr>
            <w:r>
              <w:rPr>
                <w:rFonts w:ascii="Tahoma" w:hAnsi="Tahoma"/>
                <w:b/>
                <w:color w:val="000000"/>
                <w:sz w:val="13"/>
              </w:rPr>
              <w:t>2.493</w:t>
            </w:r>
          </w:p>
        </w:tc>
      </w:tr>
      <w:tr w:rsidR="00B42F56">
        <w:trPr>
          <w:trHeight w:val="930"/>
        </w:trPr>
        <w:tc>
          <w:tcPr>
            <w:tcW w:w="11340" w:type="dxa"/>
            <w:gridSpan w:val="5"/>
            <w:tcBorders>
              <w:top w:val="single" w:sz="6" w:space="0" w:color="000000"/>
              <w:left w:val="single" w:sz="6" w:space="0" w:color="000000"/>
              <w:right w:val="single" w:sz="6" w:space="0" w:color="000000"/>
            </w:tcBorders>
            <w:shd w:val="clear" w:color="auto" w:fill="B0C4DE"/>
            <w:vAlign w:val="center"/>
          </w:tcPr>
          <w:p w:rsidR="00B42F56" w:rsidRDefault="00691D98">
            <w:pPr>
              <w:pageBreakBefore/>
              <w:jc w:val="center"/>
              <w:rPr>
                <w:rFonts w:ascii="Tahoma" w:hAnsi="Tahoma"/>
                <w:b/>
                <w:color w:val="191970"/>
                <w:sz w:val="16"/>
              </w:rPr>
            </w:pPr>
            <w:r>
              <w:rPr>
                <w:rFonts w:ascii="Tahoma" w:hAnsi="Tahoma"/>
                <w:b/>
                <w:color w:val="191970"/>
                <w:sz w:val="16"/>
              </w:rPr>
              <w:lastRenderedPageBreak/>
              <w:t xml:space="preserve">MONITORAGGIO DELLE RISULTANZE DEL SALDO DI FINANZA PUBBLICA AI SENSI DEL COMMA 469 DELL'ARTICOLO 1 </w:t>
            </w:r>
            <w:r>
              <w:rPr>
                <w:rFonts w:ascii="Tahoma" w:hAnsi="Tahoma"/>
                <w:b/>
                <w:color w:val="191970"/>
                <w:sz w:val="16"/>
              </w:rPr>
              <w:br/>
              <w:t>DELLA LEGGE 11/12/2016, N. 232  (LEGGE DI BILANCIO 2017)</w:t>
            </w:r>
            <w:r>
              <w:rPr>
                <w:rFonts w:ascii="Tahoma" w:hAnsi="Tahoma"/>
                <w:b/>
                <w:color w:val="191970"/>
                <w:sz w:val="16"/>
              </w:rPr>
              <w:br/>
            </w:r>
            <w:r>
              <w:rPr>
                <w:rFonts w:ascii="Tahoma" w:hAnsi="Tahoma"/>
                <w:b/>
                <w:color w:val="191970"/>
                <w:sz w:val="16"/>
              </w:rPr>
              <w:br/>
              <w:t>CITTA' METROPOLITANE - PROVINCE - COMUNI</w:t>
            </w:r>
          </w:p>
        </w:tc>
      </w:tr>
      <w:tr w:rsidR="00B42F56">
        <w:trPr>
          <w:trHeight w:val="240"/>
        </w:trPr>
        <w:tc>
          <w:tcPr>
            <w:tcW w:w="11340" w:type="dxa"/>
            <w:gridSpan w:val="5"/>
            <w:tcBorders>
              <w:left w:val="single" w:sz="6" w:space="0" w:color="000000"/>
              <w:bottom w:val="single" w:sz="6" w:space="0" w:color="000000"/>
              <w:right w:val="single" w:sz="6" w:space="0" w:color="000000"/>
            </w:tcBorders>
            <w:shd w:val="clear" w:color="auto" w:fill="B0C4DE"/>
            <w:vAlign w:val="bottom"/>
          </w:tcPr>
          <w:p w:rsidR="00B42F56" w:rsidRDefault="00691D98">
            <w:pPr>
              <w:spacing w:after="28"/>
              <w:ind w:right="43"/>
              <w:jc w:val="right"/>
              <w:rPr>
                <w:rFonts w:ascii="Tahoma" w:hAnsi="Tahoma"/>
                <w:b/>
                <w:color w:val="191970"/>
                <w:sz w:val="14"/>
              </w:rPr>
            </w:pPr>
            <w:r>
              <w:rPr>
                <w:rFonts w:ascii="Tahoma" w:hAnsi="Tahoma"/>
                <w:b/>
                <w:color w:val="191970"/>
                <w:sz w:val="14"/>
              </w:rPr>
              <w:t>(migliaia di euro)</w:t>
            </w:r>
          </w:p>
        </w:tc>
      </w:tr>
      <w:tr w:rsidR="00B42F56">
        <w:trPr>
          <w:trHeight w:val="930"/>
        </w:trPr>
        <w:tc>
          <w:tcPr>
            <w:tcW w:w="9750" w:type="dxa"/>
            <w:gridSpan w:val="4"/>
            <w:tcBorders>
              <w:top w:val="single" w:sz="6" w:space="0" w:color="000000"/>
              <w:left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6"/>
              </w:rPr>
            </w:pPr>
          </w:p>
        </w:tc>
        <w:tc>
          <w:tcPr>
            <w:tcW w:w="159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4"/>
              </w:rPr>
            </w:pPr>
            <w:r>
              <w:rPr>
                <w:rFonts w:ascii="Tahoma" w:hAnsi="Tahoma"/>
                <w:b/>
                <w:color w:val="000000"/>
                <w:sz w:val="14"/>
              </w:rPr>
              <w:t>Dati gestionali(stanziamenti FPV/</w:t>
            </w:r>
            <w:r>
              <w:rPr>
                <w:rFonts w:ascii="Tahoma" w:hAnsi="Tahoma"/>
                <w:b/>
                <w:color w:val="000000"/>
                <w:sz w:val="14"/>
              </w:rPr>
              <w:br/>
              <w:t>accertamenti e impegni) al 31/12/2019</w:t>
            </w:r>
          </w:p>
        </w:tc>
      </w:tr>
      <w:tr w:rsidR="00B42F56">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1)  SPAZI FINANZIARI ACQUISITI con il Patto di "SOLIDARIETA' NAZIONALE VERTICALE" ai sensi dei commi 485 e segg., art. 1, legge n. 232/2016</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3"/>
              </w:rPr>
            </w:pPr>
            <w:r>
              <w:rPr>
                <w:rFonts w:ascii="Tahoma" w:hAnsi="Tahoma"/>
                <w:b/>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b/>
                <w:color w:val="000000"/>
                <w:sz w:val="13"/>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2)  IMPEGNI DI SPESA IN CONTO CAPITALE per investimenti assunti a valere sugli spazi acquisiti con il Patto di "SOLIDARIETA' NAZIONALE VERTICALE", commi 485 e segg., art.1, legge 232/2016</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2A)  di cui Fondo pluriennale vincolato in c/capitale al netto della quota finanziata da debito</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3)  SPAZI FINANZIARI ACQUISITI con il Patto di "SOLIDARIETA' NAZIONALE VERTICALE" e NON UTILIZZATI per IMPEGNI DI SPESA IN C/CAPITALE per investimenti, c.485 e segg., art.1, legge 232/2016. (3 = 1 - 2)</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b/>
                <w:color w:val="000000"/>
                <w:sz w:val="13"/>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4)  SPAZI FINANZIARI ACQUISITI con le INTESE REGIONALI 2017, ai sensi dell'art. 2 del D.P.C.M. n. 21/2017.</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5)  IMPEGNI DI SPESA IN CONTO CAPITALE per investimenti assunti a valere sugli spazi acquisiti con le INTESE REGIONALI 2017, ai sensi dell'art. 2 del D.P.C.M. n. 21/2017</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5A)  di cui Fondo pluriennale vincolato in c/capitale al netto della quota finanziata da debito</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6)  SPAZI FINANZIARI ACQUISITI con le INTESE REGIONALI 2017 e NON UTILIZZATI per IMPEGNI DI SPESA IN CONTO CAPITALE per investimenti ai sensi dell'art. 2 del D.P.C.M. n. 21/2017. (4 - 5)</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b/>
                <w:color w:val="000000"/>
                <w:sz w:val="13"/>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7)  SPAZI FINANZIARI ACQUISITI con il Patto di "SOLIDARIETA' NAZIONALE ORIZZONTALE", ai sensi dell'art. 4 del D.P.C.M.  n. 21/2017.</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8)  IMPEGNI DI SPESA IN CONTO CAPITALE per investimenti assunti a valere sugli spazi acquisiti con il Patto di "SOLIDARIETA' NAZIONALE ORIZZONTALE", ai sensi dell'art. 4 del D.P.C.M. n. 21/2017.</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3"/>
              </w:rPr>
            </w:pPr>
            <w:r>
              <w:rPr>
                <w:rFonts w:ascii="Tahoma" w:hAnsi="Tahoma"/>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20"/>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color w:val="000000"/>
                <w:sz w:val="13"/>
              </w:rPr>
            </w:pPr>
            <w:r>
              <w:rPr>
                <w:rFonts w:ascii="Tahoma" w:hAnsi="Tahoma"/>
                <w:color w:val="000000"/>
                <w:sz w:val="13"/>
              </w:rPr>
              <w:t>8A)  di cui Fondo pluriennale vincolato in c/capitale al netto della quota finanziata da debito</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color w:val="000000"/>
                <w:sz w:val="15"/>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9)  SPAZI FINANZIARI ACQUISITI con il Patto di "SOLIDARIETA' NAZIONALE ORIZZONTALE" e NON UTILIZZATI per IMPEGNI DI SPESA IN CONTO CAPITALE per investimenti, art. 4 del D.P.C.M. n. 21/2017. (7 - 8)</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b/>
                <w:color w:val="000000"/>
                <w:sz w:val="13"/>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Q)  OBIETTIVO DI SALDO FINALE DI COMPETENZA 2017 RIDETERMINATO a seguito del recupero degli spazi finanziari acquisiti nell'anno 2017 e NON utilizzati (Q=O+3+6+9)</w:t>
            </w:r>
          </w:p>
        </w:tc>
        <w:tc>
          <w:tcPr>
            <w:tcW w:w="360" w:type="dxa"/>
            <w:tcBorders>
              <w:top w:val="single" w:sz="6" w:space="0" w:color="000000"/>
              <w:bottom w:val="single" w:sz="6" w:space="0" w:color="000000"/>
              <w:right w:val="single" w:sz="6" w:space="0" w:color="000000"/>
            </w:tcBorders>
            <w:vAlign w:val="center"/>
          </w:tcPr>
          <w:p w:rsidR="00B42F56" w:rsidRDefault="00691D98">
            <w:pPr>
              <w:jc w:val="center"/>
              <w:rPr>
                <w:rFonts w:ascii="Tahoma" w:hAnsi="Tahoma"/>
                <w:b/>
                <w:color w:val="000000"/>
                <w:sz w:val="13"/>
              </w:rPr>
            </w:pPr>
            <w:r>
              <w:rPr>
                <w:rFonts w:ascii="Tahoma" w:hAnsi="Tahoma"/>
                <w:b/>
                <w:color w:val="000000"/>
                <w:sz w:val="13"/>
              </w:rPr>
              <w:t>(-)</w:t>
            </w:r>
          </w:p>
        </w:tc>
        <w:tc>
          <w:tcPr>
            <w:tcW w:w="1590" w:type="dxa"/>
            <w:tcBorders>
              <w:top w:val="single" w:sz="6" w:space="0" w:color="000000"/>
              <w:bottom w:val="single" w:sz="6" w:space="0" w:color="000000"/>
              <w:right w:val="single" w:sz="6" w:space="0" w:color="000000"/>
            </w:tcBorders>
            <w:vAlign w:val="center"/>
          </w:tcPr>
          <w:p w:rsidR="00B42F56" w:rsidRDefault="00B42F56">
            <w:pPr>
              <w:ind w:right="72"/>
              <w:jc w:val="right"/>
              <w:rPr>
                <w:rFonts w:ascii="Tahoma" w:hAnsi="Tahoma"/>
                <w:b/>
                <w:color w:val="000000"/>
                <w:sz w:val="13"/>
              </w:rPr>
            </w:pPr>
          </w:p>
        </w:tc>
      </w:tr>
      <w:tr w:rsidR="00B42F56">
        <w:trPr>
          <w:trHeight w:val="435"/>
        </w:trPr>
        <w:tc>
          <w:tcPr>
            <w:tcW w:w="9390" w:type="dxa"/>
            <w:gridSpan w:val="3"/>
            <w:tcBorders>
              <w:top w:val="single" w:sz="6" w:space="0" w:color="000000"/>
              <w:left w:val="single" w:sz="6" w:space="0" w:color="000000"/>
              <w:bottom w:val="single" w:sz="6" w:space="0" w:color="000000"/>
              <w:right w:val="single" w:sz="6" w:space="0" w:color="000000"/>
            </w:tcBorders>
            <w:vAlign w:val="center"/>
          </w:tcPr>
          <w:p w:rsidR="00B42F56" w:rsidRDefault="00691D98">
            <w:pPr>
              <w:ind w:left="72"/>
              <w:rPr>
                <w:rFonts w:ascii="Tahoma" w:hAnsi="Tahoma"/>
                <w:b/>
                <w:color w:val="000000"/>
                <w:sz w:val="13"/>
              </w:rPr>
            </w:pPr>
            <w:r>
              <w:rPr>
                <w:rFonts w:ascii="Tahoma" w:hAnsi="Tahoma"/>
                <w:b/>
                <w:color w:val="000000"/>
                <w:sz w:val="13"/>
              </w:rPr>
              <w:t>R)  DIFFERENZA TRA IL SALDO TRA ENTRATE E SPESE FINALI E OBIETTIVO DI SALDO FINALE DI COMPETENZA RIDETERMINATO  (R = N-Q)</w:t>
            </w:r>
          </w:p>
        </w:tc>
        <w:tc>
          <w:tcPr>
            <w:tcW w:w="360" w:type="dxa"/>
            <w:tcBorders>
              <w:top w:val="single" w:sz="6" w:space="0" w:color="000000"/>
              <w:bottom w:val="single" w:sz="6" w:space="0" w:color="000000"/>
              <w:right w:val="single" w:sz="6" w:space="0" w:color="000000"/>
            </w:tcBorders>
            <w:vAlign w:val="center"/>
          </w:tcPr>
          <w:p w:rsidR="00B42F56" w:rsidRDefault="00B42F56">
            <w:pPr>
              <w:jc w:val="center"/>
              <w:rPr>
                <w:rFonts w:ascii="Tahoma" w:hAnsi="Tahoma"/>
                <w:b/>
                <w:color w:val="000000"/>
                <w:sz w:val="13"/>
              </w:rPr>
            </w:pPr>
          </w:p>
        </w:tc>
        <w:tc>
          <w:tcPr>
            <w:tcW w:w="1590" w:type="dxa"/>
            <w:tcBorders>
              <w:top w:val="single" w:sz="6" w:space="0" w:color="000000"/>
              <w:bottom w:val="single" w:sz="6" w:space="0" w:color="000000"/>
              <w:right w:val="single" w:sz="6" w:space="0" w:color="000000"/>
            </w:tcBorders>
            <w:vAlign w:val="center"/>
          </w:tcPr>
          <w:p w:rsidR="00B42F56" w:rsidRDefault="00E954A1">
            <w:pPr>
              <w:ind w:right="72"/>
              <w:jc w:val="right"/>
              <w:rPr>
                <w:rFonts w:ascii="Tahoma" w:hAnsi="Tahoma"/>
                <w:b/>
                <w:color w:val="000000"/>
                <w:sz w:val="13"/>
              </w:rPr>
            </w:pPr>
            <w:r>
              <w:rPr>
                <w:rFonts w:ascii="Tahoma" w:hAnsi="Tahoma"/>
                <w:b/>
                <w:color w:val="000000"/>
                <w:sz w:val="13"/>
              </w:rPr>
              <w:t>5937</w:t>
            </w:r>
          </w:p>
        </w:tc>
      </w:tr>
    </w:tbl>
    <w:p w:rsidR="00B42F56" w:rsidRDefault="00B42F56">
      <w:pPr>
        <w:rPr>
          <w:rFonts w:ascii="Times New Roman" w:hAnsi="Times New Roman"/>
          <w:sz w:val="24"/>
        </w:rPr>
      </w:pPr>
    </w:p>
    <w:p w:rsidR="00B42F56" w:rsidRDefault="00B42F56"/>
    <w:p w:rsidR="00B42F56" w:rsidRDefault="00691D98">
      <w:r>
        <w:br w:type="page"/>
      </w:r>
    </w:p>
    <w:p w:rsidR="00B42F56" w:rsidRDefault="00691D98">
      <w:pPr>
        <w:pStyle w:val="Titolo2"/>
      </w:pPr>
      <w:bookmarkStart w:id="5" w:name="_Toc477717555"/>
      <w:r>
        <w:lastRenderedPageBreak/>
        <w:t>LA SPESA PER IL PERSONALE</w:t>
      </w:r>
      <w:bookmarkEnd w:id="5"/>
    </w:p>
    <w:p w:rsidR="00B42F56" w:rsidRDefault="00B42F56"/>
    <w:p w:rsidR="00B42F56" w:rsidRDefault="00691D98">
      <w:pPr>
        <w:jc w:val="both"/>
      </w:pPr>
      <w:r>
        <w:t xml:space="preserve">”. </w:t>
      </w:r>
    </w:p>
    <w:p w:rsidR="005E5A15" w:rsidRPr="005E5A15" w:rsidRDefault="00207B5C" w:rsidP="005E5A15">
      <w:pPr>
        <w:jc w:val="both"/>
        <w:rPr>
          <w:b/>
          <w:bCs/>
          <w:color w:val="FF0000"/>
          <w:sz w:val="18"/>
          <w:szCs w:val="18"/>
        </w:rPr>
      </w:pPr>
      <w:r>
        <w:t xml:space="preserve">Il Legislatore prevede, </w:t>
      </w:r>
      <w:r w:rsidR="00691D98">
        <w:t>che gli Enti Territoriali possano avere la spesa di personale, espressa in termini di competenza, per un importo non superiore alla spesa media del triennio  2011-2012-2013.</w:t>
      </w:r>
      <w:r w:rsidR="005E5A15">
        <w:t xml:space="preserve"> </w:t>
      </w:r>
      <w:r w:rsidR="005E5A15" w:rsidRPr="005E5A15">
        <w:t>(</w:t>
      </w:r>
      <w:r w:rsidR="005E5A15" w:rsidRPr="005E5A15">
        <w:rPr>
          <w:b/>
          <w:bCs/>
          <w:sz w:val="18"/>
          <w:szCs w:val="18"/>
        </w:rPr>
        <w:t xml:space="preserve">  1.443.173,81 </w:t>
      </w:r>
      <w:r w:rsidR="005E5A15">
        <w:rPr>
          <w:b/>
          <w:bCs/>
          <w:color w:val="FF0000"/>
          <w:sz w:val="18"/>
          <w:szCs w:val="18"/>
        </w:rPr>
        <w:t>)</w:t>
      </w:r>
    </w:p>
    <w:p w:rsidR="00B42F56" w:rsidRDefault="00B42F56">
      <w:pPr>
        <w:jc w:val="both"/>
      </w:pPr>
    </w:p>
    <w:p w:rsidR="00B42F56" w:rsidRDefault="00691D98">
      <w:pPr>
        <w:jc w:val="both"/>
      </w:pPr>
      <w:r>
        <w:t xml:space="preserve"> </w:t>
      </w:r>
      <w:r w:rsidR="00207B5C">
        <w:t xml:space="preserve">Nel corso del 2019 </w:t>
      </w:r>
      <w:r>
        <w:t xml:space="preserve"> la spesa di personale del Comune è illustrata dalla seguente tabella:</w:t>
      </w:r>
    </w:p>
    <w:p w:rsidR="00B42F56" w:rsidRDefault="005E5A15">
      <w:pPr>
        <w:jc w:val="both"/>
      </w:pPr>
      <w:r>
        <w:t>competenze compresi oneri                       1.375.627,31</w:t>
      </w:r>
    </w:p>
    <w:p w:rsidR="005E5A15" w:rsidRDefault="005E5A15">
      <w:pPr>
        <w:jc w:val="both"/>
      </w:pPr>
      <w:proofErr w:type="spellStart"/>
      <w:r>
        <w:t>irap</w:t>
      </w:r>
      <w:proofErr w:type="spellEnd"/>
      <w:r>
        <w:t xml:space="preserve">                                                                       88.419,20</w:t>
      </w:r>
    </w:p>
    <w:p w:rsidR="005E5A15" w:rsidRDefault="005E5A15">
      <w:pPr>
        <w:jc w:val="both"/>
      </w:pPr>
      <w:r>
        <w:t>buoni pasto                                                        10.934,35</w:t>
      </w:r>
    </w:p>
    <w:p w:rsidR="005E5A15" w:rsidRDefault="005E5A15">
      <w:pPr>
        <w:jc w:val="both"/>
      </w:pPr>
      <w:r>
        <w:t>costo virtuale ceduto unione dei comuni    18.714,00</w:t>
      </w:r>
    </w:p>
    <w:p w:rsidR="005E5A15" w:rsidRDefault="005E5A15">
      <w:pPr>
        <w:jc w:val="both"/>
      </w:pPr>
    </w:p>
    <w:p w:rsidR="005E5A15" w:rsidRDefault="005E5A15">
      <w:pPr>
        <w:jc w:val="both"/>
      </w:pPr>
      <w:r>
        <w:t>totale costo                                                    1.493.694,86</w:t>
      </w:r>
    </w:p>
    <w:p w:rsidR="005E5A15" w:rsidRDefault="005E5A15">
      <w:pPr>
        <w:jc w:val="both"/>
      </w:pPr>
    </w:p>
    <w:p w:rsidR="005E5A15" w:rsidRDefault="005E5A15">
      <w:pPr>
        <w:jc w:val="both"/>
      </w:pPr>
      <w:r>
        <w:t>voci detraibili                                                    460.039,80</w:t>
      </w:r>
    </w:p>
    <w:p w:rsidR="005E5A15" w:rsidRDefault="005E5A15">
      <w:pPr>
        <w:jc w:val="both"/>
      </w:pPr>
    </w:p>
    <w:p w:rsidR="005E5A15" w:rsidRDefault="005E5A15">
      <w:pPr>
        <w:jc w:val="both"/>
      </w:pPr>
      <w:r>
        <w:t>spese a rendiconto                                      1.033.655,06</w:t>
      </w:r>
    </w:p>
    <w:p w:rsidR="00B42F56" w:rsidRDefault="00B42F56">
      <w:pPr>
        <w:jc w:val="center"/>
      </w:pPr>
    </w:p>
    <w:p w:rsidR="00B42F56" w:rsidRDefault="00691D98">
      <w:r>
        <w:t>Il Comune ha rispettato il limite previsto dal comma 557 dell’art. 1 della L. 296/2006.</w:t>
      </w:r>
    </w:p>
    <w:p w:rsidR="00B42F56" w:rsidRDefault="00691D98">
      <w:pPr>
        <w:jc w:val="both"/>
      </w:pPr>
      <w:r>
        <w:t>Nel rispetto del Principio Contabile Applicato della Contabilità Finanziaria, alleg</w:t>
      </w:r>
      <w:r w:rsidR="00207B5C">
        <w:t>ato 4/2 di cui all’art. 3 del D</w:t>
      </w:r>
      <w:r>
        <w:t>L</w:t>
      </w:r>
      <w:r w:rsidR="00207B5C">
        <w:t>.</w:t>
      </w:r>
      <w:r>
        <w:t xml:space="preserve">gs. 118/2011 </w:t>
      </w:r>
      <w:proofErr w:type="spellStart"/>
      <w:r>
        <w:t>s.m.i.</w:t>
      </w:r>
      <w:proofErr w:type="spellEnd"/>
      <w:r>
        <w:t xml:space="preserve">, </w:t>
      </w:r>
    </w:p>
    <w:p w:rsidR="005E5A15" w:rsidRPr="005E5A15" w:rsidRDefault="00691D98" w:rsidP="005E5A15">
      <w:pPr>
        <w:jc w:val="both"/>
        <w:rPr>
          <w:color w:val="000000"/>
          <w:sz w:val="18"/>
          <w:szCs w:val="18"/>
        </w:rPr>
      </w:pPr>
      <w:r>
        <w:t>Nel corso del 20</w:t>
      </w:r>
      <w:r w:rsidR="00207B5C">
        <w:t xml:space="preserve">19, </w:t>
      </w:r>
      <w:r>
        <w:t xml:space="preserve"> è stato sottoscritto l’accordo per la destinazione del Fondo per le Politiche di Sviluppo del Personale dell’esercizio 201</w:t>
      </w:r>
      <w:r w:rsidR="005E5A15">
        <w:t>9 che</w:t>
      </w:r>
      <w:r w:rsidR="00207B5C">
        <w:t xml:space="preserve"> sarà </w:t>
      </w:r>
      <w:r>
        <w:t xml:space="preserve"> esigibile nel corso del 20</w:t>
      </w:r>
      <w:r w:rsidR="00207B5C">
        <w:t>20</w:t>
      </w:r>
      <w:r>
        <w:t xml:space="preserve"> (e quindi iscritto nel Fondo Plurienna</w:t>
      </w:r>
      <w:r w:rsidR="00207B5C">
        <w:t xml:space="preserve">le Vincolato di Spesa), è verrà </w:t>
      </w:r>
      <w:r>
        <w:t>considerato nella spesa di personale del 20</w:t>
      </w:r>
      <w:r w:rsidR="00207B5C">
        <w:t>20</w:t>
      </w:r>
      <w:r>
        <w:t xml:space="preserve"> per euro</w:t>
      </w:r>
      <w:r w:rsidR="00207B5C">
        <w:t xml:space="preserve"> </w:t>
      </w:r>
      <w:r>
        <w:t>.</w:t>
      </w:r>
      <w:r w:rsidR="005E5A15">
        <w:t xml:space="preserve">  </w:t>
      </w:r>
      <w:r w:rsidR="005E5A15" w:rsidRPr="005E5A15">
        <w:rPr>
          <w:color w:val="000000"/>
          <w:sz w:val="18"/>
          <w:szCs w:val="18"/>
        </w:rPr>
        <w:t>73978,59</w:t>
      </w:r>
    </w:p>
    <w:p w:rsidR="00B42F56" w:rsidRDefault="00B42F56">
      <w:pPr>
        <w:jc w:val="both"/>
      </w:pPr>
    </w:p>
    <w:p w:rsidR="00207B5C" w:rsidRDefault="00207B5C">
      <w:pPr>
        <w:jc w:val="both"/>
      </w:pPr>
      <w:r>
        <w:t xml:space="preserve">Di contro nelle spese su evidenziate è stato considerato il salario accessorio relativo al  2018 divenuto esigibile nel 2019 per un importo di   </w:t>
      </w:r>
      <w:r w:rsidR="00CD112F">
        <w:t>54.952,35</w:t>
      </w:r>
    </w:p>
    <w:p w:rsidR="00B42F56" w:rsidRDefault="00B42F56">
      <w:pPr>
        <w:rPr>
          <w:color w:val="FF0000"/>
        </w:rPr>
      </w:pPr>
    </w:p>
    <w:p w:rsidR="00B42F56" w:rsidRDefault="00691D98">
      <w:pPr>
        <w:rPr>
          <w:color w:val="FF0000"/>
        </w:rPr>
      </w:pPr>
      <w:r>
        <w:rPr>
          <w:color w:val="FF0000"/>
        </w:rPr>
        <w:t>[</w:t>
      </w:r>
      <w:proofErr w:type="spellStart"/>
      <w:r>
        <w:rPr>
          <w:color w:val="FF0000"/>
        </w:rPr>
        <w:t>IndicatorePersonaleSpeseCorrenti</w:t>
      </w:r>
      <w:proofErr w:type="spellEnd"/>
      <w:r>
        <w:rPr>
          <w:color w:val="FF0000"/>
        </w:rPr>
        <w:t>]</w:t>
      </w:r>
    </w:p>
    <w:p w:rsidR="00B42F56" w:rsidRDefault="00B42F56">
      <w:pPr>
        <w:rPr>
          <w:color w:val="FF0000"/>
        </w:rPr>
      </w:pPr>
    </w:p>
    <w:tbl>
      <w:tblPr>
        <w:tblW w:w="0" w:type="auto"/>
        <w:tblInd w:w="7" w:type="dxa"/>
        <w:tblCellMar>
          <w:left w:w="0" w:type="dxa"/>
          <w:right w:w="0" w:type="dxa"/>
        </w:tblCellMar>
        <w:tblLook w:val="04A0" w:firstRow="1" w:lastRow="0" w:firstColumn="1" w:lastColumn="0" w:noHBand="0" w:noVBand="1"/>
      </w:tblPr>
      <w:tblGrid>
        <w:gridCol w:w="2460"/>
        <w:gridCol w:w="1545"/>
        <w:gridCol w:w="555"/>
        <w:gridCol w:w="1560"/>
        <w:gridCol w:w="540"/>
        <w:gridCol w:w="1560"/>
        <w:gridCol w:w="540"/>
        <w:gridCol w:w="2818"/>
      </w:tblGrid>
      <w:tr w:rsidR="00B42F56">
        <w:trPr>
          <w:trHeight w:val="720"/>
        </w:trPr>
        <w:tc>
          <w:tcPr>
            <w:tcW w:w="11535"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B42F56" w:rsidRDefault="00691D98">
            <w:pPr>
              <w:ind w:left="43"/>
              <w:jc w:val="center"/>
              <w:rPr>
                <w:rFonts w:ascii="Tahoma" w:hAnsi="Tahoma"/>
                <w:b/>
                <w:color w:val="191970"/>
                <w:sz w:val="24"/>
              </w:rPr>
            </w:pPr>
            <w:r>
              <w:rPr>
                <w:rFonts w:ascii="Tahoma" w:hAnsi="Tahoma"/>
                <w:b/>
                <w:color w:val="191970"/>
                <w:sz w:val="24"/>
              </w:rPr>
              <w:t>Spesa personale pro-capite</w:t>
            </w:r>
          </w:p>
        </w:tc>
      </w:tr>
      <w:tr w:rsidR="00B42F56">
        <w:trPr>
          <w:trHeight w:val="720"/>
        </w:trPr>
        <w:tc>
          <w:tcPr>
            <w:tcW w:w="2460" w:type="dxa"/>
            <w:tcBorders>
              <w:left w:val="single" w:sz="6" w:space="0" w:color="000000"/>
              <w:bottom w:val="single" w:sz="6" w:space="0" w:color="000000"/>
              <w:right w:val="single" w:sz="6" w:space="0" w:color="000000"/>
            </w:tcBorders>
            <w:vAlign w:val="center"/>
          </w:tcPr>
          <w:p w:rsidR="00B42F56" w:rsidRDefault="00B42F56">
            <w:pPr>
              <w:ind w:left="43"/>
              <w:rPr>
                <w:rFonts w:ascii="Tahoma" w:hAnsi="Tahoma"/>
                <w:color w:val="000000"/>
                <w:sz w:val="16"/>
              </w:rPr>
            </w:pPr>
          </w:p>
        </w:tc>
        <w:tc>
          <w:tcPr>
            <w:tcW w:w="2100" w:type="dxa"/>
            <w:gridSpan w:val="2"/>
            <w:tcBorders>
              <w:bottom w:val="single" w:sz="6" w:space="0" w:color="000000"/>
              <w:right w:val="single" w:sz="6" w:space="0" w:color="000000"/>
            </w:tcBorders>
            <w:vAlign w:val="center"/>
          </w:tcPr>
          <w:p w:rsidR="00B42F56" w:rsidRDefault="00691D98">
            <w:pPr>
              <w:ind w:right="43"/>
              <w:jc w:val="center"/>
              <w:rPr>
                <w:rFonts w:ascii="Tahoma" w:hAnsi="Tahoma"/>
                <w:b/>
                <w:color w:val="000000"/>
                <w:sz w:val="16"/>
              </w:rPr>
            </w:pPr>
            <w:r>
              <w:rPr>
                <w:rFonts w:ascii="Tahoma" w:hAnsi="Tahoma"/>
                <w:b/>
                <w:color w:val="000000"/>
                <w:sz w:val="16"/>
              </w:rPr>
              <w:t>Anno 2017</w:t>
            </w:r>
          </w:p>
        </w:tc>
        <w:tc>
          <w:tcPr>
            <w:tcW w:w="2100" w:type="dxa"/>
            <w:gridSpan w:val="2"/>
            <w:tcBorders>
              <w:bottom w:val="single" w:sz="6" w:space="0" w:color="000000"/>
              <w:right w:val="single" w:sz="6" w:space="0" w:color="000000"/>
            </w:tcBorders>
            <w:vAlign w:val="center"/>
          </w:tcPr>
          <w:p w:rsidR="00B42F56" w:rsidRDefault="00691D98">
            <w:pPr>
              <w:ind w:right="43"/>
              <w:jc w:val="center"/>
              <w:rPr>
                <w:rFonts w:ascii="Tahoma" w:hAnsi="Tahoma"/>
                <w:b/>
                <w:color w:val="000000"/>
                <w:sz w:val="16"/>
              </w:rPr>
            </w:pPr>
            <w:r>
              <w:rPr>
                <w:rFonts w:ascii="Tahoma" w:hAnsi="Tahoma"/>
                <w:b/>
                <w:color w:val="000000"/>
                <w:sz w:val="16"/>
              </w:rPr>
              <w:t>Anno 2018</w:t>
            </w:r>
          </w:p>
        </w:tc>
        <w:tc>
          <w:tcPr>
            <w:tcW w:w="2100" w:type="dxa"/>
            <w:gridSpan w:val="2"/>
            <w:tcBorders>
              <w:bottom w:val="single" w:sz="6" w:space="0" w:color="000000"/>
              <w:right w:val="single" w:sz="6" w:space="0" w:color="000000"/>
            </w:tcBorders>
            <w:vAlign w:val="center"/>
          </w:tcPr>
          <w:p w:rsidR="00B42F56" w:rsidRDefault="00691D98">
            <w:pPr>
              <w:ind w:right="43"/>
              <w:jc w:val="center"/>
              <w:rPr>
                <w:rFonts w:ascii="Tahoma" w:hAnsi="Tahoma"/>
                <w:b/>
                <w:color w:val="000000"/>
                <w:sz w:val="16"/>
              </w:rPr>
            </w:pPr>
            <w:r>
              <w:rPr>
                <w:rFonts w:ascii="Tahoma" w:hAnsi="Tahoma"/>
                <w:b/>
                <w:color w:val="000000"/>
                <w:sz w:val="16"/>
              </w:rPr>
              <w:t>Anno 2019</w:t>
            </w:r>
          </w:p>
        </w:tc>
        <w:tc>
          <w:tcPr>
            <w:tcW w:w="2775" w:type="dxa"/>
            <w:vMerge w:val="restart"/>
            <w:tcBorders>
              <w:bottom w:val="single" w:sz="6" w:space="0" w:color="000000"/>
              <w:right w:val="single" w:sz="6" w:space="0" w:color="000000"/>
            </w:tcBorders>
          </w:tcPr>
          <w:p w:rsidR="00B42F56" w:rsidRDefault="00691D98">
            <w:pPr>
              <w:ind w:right="43"/>
              <w:rPr>
                <w:rFonts w:ascii="Times New Roman" w:hAnsi="Times New Roman"/>
                <w:b/>
                <w:color w:val="000000"/>
                <w:sz w:val="1"/>
              </w:rPr>
            </w:pPr>
            <w:r>
              <w:rPr>
                <w:noProof/>
              </w:rPr>
              <w:drawing>
                <wp:inline distT="0" distB="0" distL="0" distR="0">
                  <wp:extent cx="1752600" cy="1371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a:fillRect/>
                          </a:stretch>
                        </pic:blipFill>
                        <pic:spPr>
                          <a:xfrm>
                            <a:off x="0" y="0"/>
                            <a:ext cx="1752600" cy="1371600"/>
                          </a:xfrm>
                          <a:prstGeom prst="rect">
                            <a:avLst/>
                          </a:prstGeom>
                          <a:noFill/>
                        </pic:spPr>
                      </pic:pic>
                    </a:graphicData>
                  </a:graphic>
                </wp:inline>
              </w:drawing>
            </w:r>
          </w:p>
        </w:tc>
      </w:tr>
      <w:tr w:rsidR="00B42F56">
        <w:trPr>
          <w:trHeight w:val="720"/>
        </w:trPr>
        <w:tc>
          <w:tcPr>
            <w:tcW w:w="2460" w:type="dxa"/>
            <w:tcBorders>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Spesa personale</w:t>
            </w:r>
          </w:p>
        </w:tc>
        <w:tc>
          <w:tcPr>
            <w:tcW w:w="1545"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1.499.416,55</w:t>
            </w:r>
          </w:p>
        </w:tc>
        <w:tc>
          <w:tcPr>
            <w:tcW w:w="555" w:type="dxa"/>
            <w:vMerge w:val="restart"/>
            <w:tcBorders>
              <w:bottom w:val="single" w:sz="6" w:space="0" w:color="000000"/>
              <w:right w:val="single" w:sz="6" w:space="0" w:color="000000"/>
            </w:tcBorders>
            <w:vAlign w:val="center"/>
          </w:tcPr>
          <w:p w:rsidR="00B42F56" w:rsidRDefault="00691D98">
            <w:pPr>
              <w:jc w:val="center"/>
              <w:rPr>
                <w:rFonts w:ascii="Tahoma" w:hAnsi="Tahoma"/>
                <w:color w:val="000000"/>
                <w:sz w:val="14"/>
              </w:rPr>
            </w:pPr>
            <w:r>
              <w:rPr>
                <w:rFonts w:ascii="Tahoma" w:hAnsi="Tahoma"/>
                <w:color w:val="000000"/>
                <w:sz w:val="14"/>
              </w:rPr>
              <w:t>280,53</w:t>
            </w:r>
          </w:p>
        </w:tc>
        <w:tc>
          <w:tcPr>
            <w:tcW w:w="156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1.472.251,04</w:t>
            </w:r>
          </w:p>
        </w:tc>
        <w:tc>
          <w:tcPr>
            <w:tcW w:w="540" w:type="dxa"/>
            <w:vMerge w:val="restart"/>
            <w:tcBorders>
              <w:bottom w:val="single" w:sz="6" w:space="0" w:color="000000"/>
              <w:right w:val="single" w:sz="6" w:space="0" w:color="000000"/>
            </w:tcBorders>
            <w:vAlign w:val="center"/>
          </w:tcPr>
          <w:p w:rsidR="00B42F56" w:rsidRDefault="00691D98">
            <w:pPr>
              <w:jc w:val="center"/>
              <w:rPr>
                <w:rFonts w:ascii="Tahoma" w:hAnsi="Tahoma"/>
                <w:color w:val="000000"/>
                <w:sz w:val="14"/>
              </w:rPr>
            </w:pPr>
            <w:r>
              <w:rPr>
                <w:rFonts w:ascii="Tahoma" w:hAnsi="Tahoma"/>
                <w:color w:val="000000"/>
                <w:sz w:val="14"/>
              </w:rPr>
              <w:t>275,44</w:t>
            </w:r>
          </w:p>
        </w:tc>
        <w:tc>
          <w:tcPr>
            <w:tcW w:w="156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1.494.408,93</w:t>
            </w:r>
          </w:p>
        </w:tc>
        <w:tc>
          <w:tcPr>
            <w:tcW w:w="540" w:type="dxa"/>
            <w:vMerge w:val="restart"/>
            <w:tcBorders>
              <w:bottom w:val="single" w:sz="6" w:space="0" w:color="000000"/>
              <w:right w:val="single" w:sz="6" w:space="0" w:color="000000"/>
            </w:tcBorders>
            <w:vAlign w:val="center"/>
          </w:tcPr>
          <w:p w:rsidR="00B42F56" w:rsidRDefault="00691D98">
            <w:pPr>
              <w:jc w:val="center"/>
              <w:rPr>
                <w:rFonts w:ascii="Tahoma" w:hAnsi="Tahoma"/>
                <w:color w:val="000000"/>
                <w:sz w:val="14"/>
              </w:rPr>
            </w:pPr>
            <w:r>
              <w:rPr>
                <w:rFonts w:ascii="Tahoma" w:hAnsi="Tahoma"/>
                <w:color w:val="000000"/>
                <w:sz w:val="14"/>
              </w:rPr>
              <w:t>0,00</w:t>
            </w:r>
          </w:p>
        </w:tc>
        <w:tc>
          <w:tcPr>
            <w:tcW w:w="2775" w:type="dxa"/>
            <w:vMerge/>
            <w:tcBorders>
              <w:bottom w:val="single" w:sz="6" w:space="0" w:color="000000"/>
              <w:right w:val="single" w:sz="6" w:space="0" w:color="000000"/>
            </w:tcBorders>
          </w:tcPr>
          <w:p w:rsidR="00B42F56" w:rsidRDefault="00B42F56">
            <w:pPr>
              <w:rPr>
                <w:rFonts w:ascii="Times New Roman" w:hAnsi="Times New Roman"/>
                <w:sz w:val="1"/>
              </w:rPr>
            </w:pPr>
          </w:p>
        </w:tc>
      </w:tr>
      <w:tr w:rsidR="00B42F56">
        <w:trPr>
          <w:trHeight w:val="720"/>
        </w:trPr>
        <w:tc>
          <w:tcPr>
            <w:tcW w:w="2460" w:type="dxa"/>
            <w:tcBorders>
              <w:left w:val="single" w:sz="6" w:space="0" w:color="000000"/>
              <w:bottom w:val="single" w:sz="6" w:space="0" w:color="000000"/>
              <w:right w:val="single" w:sz="6" w:space="0" w:color="000000"/>
            </w:tcBorders>
            <w:vAlign w:val="center"/>
          </w:tcPr>
          <w:p w:rsidR="00B42F56" w:rsidRDefault="00691D98">
            <w:pPr>
              <w:jc w:val="center"/>
              <w:rPr>
                <w:rFonts w:ascii="Tahoma" w:hAnsi="Tahoma"/>
                <w:color w:val="000000"/>
                <w:sz w:val="16"/>
              </w:rPr>
            </w:pPr>
            <w:r>
              <w:rPr>
                <w:rFonts w:ascii="Tahoma" w:hAnsi="Tahoma"/>
                <w:color w:val="000000"/>
                <w:sz w:val="16"/>
              </w:rPr>
              <w:t>Popolazione</w:t>
            </w:r>
          </w:p>
        </w:tc>
        <w:tc>
          <w:tcPr>
            <w:tcW w:w="1545"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5.345</w:t>
            </w:r>
          </w:p>
        </w:tc>
        <w:tc>
          <w:tcPr>
            <w:tcW w:w="555" w:type="dxa"/>
            <w:vMerge/>
            <w:tcBorders>
              <w:bottom w:val="single" w:sz="6" w:space="0" w:color="000000"/>
              <w:right w:val="single" w:sz="6" w:space="0" w:color="000000"/>
            </w:tcBorders>
          </w:tcPr>
          <w:p w:rsidR="00B42F56" w:rsidRDefault="00B42F56">
            <w:pPr>
              <w:rPr>
                <w:rFonts w:ascii="Times New Roman" w:hAnsi="Times New Roman"/>
                <w:sz w:val="1"/>
              </w:rPr>
            </w:pPr>
          </w:p>
        </w:tc>
        <w:tc>
          <w:tcPr>
            <w:tcW w:w="156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5.345</w:t>
            </w:r>
          </w:p>
        </w:tc>
        <w:tc>
          <w:tcPr>
            <w:tcW w:w="540" w:type="dxa"/>
            <w:vMerge/>
            <w:tcBorders>
              <w:bottom w:val="single" w:sz="6" w:space="0" w:color="000000"/>
              <w:right w:val="single" w:sz="6" w:space="0" w:color="000000"/>
            </w:tcBorders>
          </w:tcPr>
          <w:p w:rsidR="00B42F56" w:rsidRDefault="00B42F56">
            <w:pPr>
              <w:rPr>
                <w:rFonts w:ascii="Times New Roman" w:hAnsi="Times New Roman"/>
                <w:sz w:val="1"/>
              </w:rPr>
            </w:pPr>
          </w:p>
        </w:tc>
        <w:tc>
          <w:tcPr>
            <w:tcW w:w="1560" w:type="dxa"/>
            <w:tcBorders>
              <w:bottom w:val="single" w:sz="6" w:space="0" w:color="000000"/>
              <w:right w:val="single" w:sz="6" w:space="0" w:color="000000"/>
            </w:tcBorders>
            <w:vAlign w:val="center"/>
          </w:tcPr>
          <w:p w:rsidR="00B42F56" w:rsidRDefault="00691D98">
            <w:pPr>
              <w:ind w:right="72"/>
              <w:jc w:val="right"/>
              <w:rPr>
                <w:rFonts w:ascii="Tahoma" w:hAnsi="Tahoma"/>
                <w:color w:val="000000"/>
                <w:sz w:val="16"/>
              </w:rPr>
            </w:pPr>
            <w:r>
              <w:rPr>
                <w:rFonts w:ascii="Tahoma" w:hAnsi="Tahoma"/>
                <w:color w:val="000000"/>
                <w:sz w:val="16"/>
              </w:rPr>
              <w:t>0</w:t>
            </w:r>
          </w:p>
        </w:tc>
        <w:tc>
          <w:tcPr>
            <w:tcW w:w="540" w:type="dxa"/>
            <w:vMerge/>
            <w:tcBorders>
              <w:bottom w:val="single" w:sz="6" w:space="0" w:color="000000"/>
              <w:right w:val="single" w:sz="6" w:space="0" w:color="000000"/>
            </w:tcBorders>
          </w:tcPr>
          <w:p w:rsidR="00B42F56" w:rsidRDefault="00B42F56">
            <w:pPr>
              <w:rPr>
                <w:rFonts w:ascii="Times New Roman" w:hAnsi="Times New Roman"/>
                <w:sz w:val="1"/>
              </w:rPr>
            </w:pPr>
          </w:p>
        </w:tc>
        <w:tc>
          <w:tcPr>
            <w:tcW w:w="2775" w:type="dxa"/>
            <w:vMerge/>
            <w:tcBorders>
              <w:bottom w:val="single" w:sz="6" w:space="0" w:color="000000"/>
              <w:right w:val="single" w:sz="6" w:space="0" w:color="000000"/>
            </w:tcBorders>
          </w:tcPr>
          <w:p w:rsidR="00B42F56" w:rsidRDefault="00B42F56">
            <w:pPr>
              <w:rPr>
                <w:rFonts w:ascii="Times New Roman" w:hAnsi="Times New Roman"/>
                <w:sz w:val="1"/>
              </w:rPr>
            </w:pPr>
          </w:p>
        </w:tc>
      </w:tr>
    </w:tbl>
    <w:p w:rsidR="00B42F56" w:rsidRDefault="00B42F56">
      <w:pPr>
        <w:rPr>
          <w:rFonts w:ascii="Times New Roman" w:hAnsi="Times New Roman"/>
          <w:sz w:val="24"/>
        </w:rPr>
      </w:pPr>
    </w:p>
    <w:p w:rsidR="00B42F56" w:rsidRDefault="00B42F56">
      <w:pPr>
        <w:rPr>
          <w:color w:val="FF0000"/>
        </w:rPr>
      </w:pPr>
    </w:p>
    <w:p w:rsidR="00B42F56" w:rsidRDefault="00691D98">
      <w:pPr>
        <w:rPr>
          <w:b/>
          <w:color w:val="000000" w:themeColor="text1"/>
          <w:sz w:val="26"/>
        </w:rPr>
      </w:pPr>
      <w:r>
        <w:br w:type="page"/>
      </w:r>
    </w:p>
    <w:p w:rsidR="00B42F56" w:rsidRDefault="00691D98">
      <w:pPr>
        <w:pStyle w:val="Titolo1"/>
      </w:pPr>
      <w:bookmarkStart w:id="6" w:name="_Toc477717557"/>
      <w:r>
        <w:lastRenderedPageBreak/>
        <w:t>L’ANALISI ECONOMICO PATRIMONIALE DELL’ANNO 201</w:t>
      </w:r>
      <w:bookmarkEnd w:id="6"/>
      <w:r w:rsidR="008B5130">
        <w:t>9</w:t>
      </w:r>
    </w:p>
    <w:p w:rsidR="00B42F56" w:rsidRDefault="00B42F56"/>
    <w:p w:rsidR="00B42F56" w:rsidRDefault="00691D98">
      <w:pPr>
        <w:jc w:val="both"/>
      </w:pPr>
      <w:r>
        <w:t>Il rendiconto dell’eserc</w:t>
      </w:r>
      <w:r w:rsidR="00FC70DE">
        <w:t>izio, chiuso al 31 dicembre 2019</w:t>
      </w:r>
      <w:r>
        <w:t>, costituito dal Conto del Bilancio, dallo Stato Patrimoniale e dal Conto Economico, è stato redatto secondo i criteri previsti dal decreto 23 giugno 2011 n. 118, modificato ed integrato dal decreto legislativo 10 agosto 2014 n. 126, ed in particolare secondo gli allegati 4/2 – Principio Contabile Applicato della Contabilità Finanziaria e l’allegato 4/3 – Principio Contabile Applicato della Contabilità Economico Patrimoniale.</w:t>
      </w:r>
    </w:p>
    <w:p w:rsidR="00B42F56" w:rsidRDefault="00B42F56">
      <w:pPr>
        <w:jc w:val="both"/>
      </w:pPr>
    </w:p>
    <w:p w:rsidR="00B42F56" w:rsidRDefault="00691D98">
      <w:pPr>
        <w:jc w:val="both"/>
      </w:pPr>
      <w:r>
        <w:t xml:space="preserve">Lo scopo della contabilità finanziaria è quello di presiedere e controllare l’allocazione delle risorse finanziarie, quindi di assicurare che siano impegnate spese solo nel limite delle disponibilità acquisite: la realizzazione di un avanzo, quindi, indica che parte delle risorse non sono state spese, con la conseguenza che tale eccedenza può essere messa a disposizione nell’esercizio successivo. </w:t>
      </w:r>
    </w:p>
    <w:p w:rsidR="00B42F56" w:rsidRDefault="00B42F56">
      <w:pPr>
        <w:jc w:val="both"/>
      </w:pPr>
    </w:p>
    <w:p w:rsidR="00B42F56" w:rsidRDefault="00691D98">
      <w:pPr>
        <w:jc w:val="both"/>
      </w:pPr>
      <w:r>
        <w:t>Il fine della contabilità economica, invece, è quello di rilevare i costi maturati per l’utilizzo dei fattori produttivi, finalizzati a produrre i servizi che vengono offerti alla collettività e a mantenere la propria struttura organizzativa. Dal raffronto con i ricavi di competenza dell’esercizio, realizzati attraverso la cessione dei servizi prodotti (per lo più gratuita o a prezzi definiti in funzione delle condizioni reddituali dei fruitori), la riscossione coattiva delle imposte e il trasferimento di risorse da altri enti, emerge il risultato economico che esprime, quindi, il livello di equilibrio economico della gestione, cioè la sua condizione di “</w:t>
      </w:r>
      <w:proofErr w:type="spellStart"/>
      <w:r>
        <w:t>automantenimento</w:t>
      </w:r>
      <w:proofErr w:type="spellEnd"/>
      <w:r>
        <w:t>” nel tempo.</w:t>
      </w:r>
    </w:p>
    <w:p w:rsidR="00B42F56" w:rsidRDefault="00B42F56"/>
    <w:p w:rsidR="00B42F56" w:rsidRDefault="00B42F56"/>
    <w:p w:rsidR="00B42F56" w:rsidRDefault="00691D98">
      <w:pPr>
        <w:pStyle w:val="Titolo2"/>
      </w:pPr>
      <w:bookmarkStart w:id="7" w:name="_Toc477717558"/>
      <w:r>
        <w:t>I CRITERI DI VALUTAZIONE APPLICATI</w:t>
      </w:r>
      <w:bookmarkEnd w:id="7"/>
    </w:p>
    <w:p w:rsidR="00B42F56" w:rsidRDefault="00B42F56"/>
    <w:p w:rsidR="00B42F56" w:rsidRDefault="00691D98">
      <w:pPr>
        <w:jc w:val="both"/>
      </w:pPr>
      <w:r>
        <w:t>Lo Stato Patrimoniale e del Conto Economico sono stati predisposti applicando in maniera puntuale il disposto del Principio Contabile Applicato della Contabilità Economico-Patrimoniale e, laddove il disposto normativo non fosse esaustivo, sono stati applicati i Principi Contabili enucleati dall’Organismo Italiano per la Contabilità (OIC).</w:t>
      </w:r>
      <w:r w:rsidR="004D7930">
        <w:t xml:space="preserve"> </w:t>
      </w:r>
    </w:p>
    <w:p w:rsidR="00B42F56" w:rsidRDefault="00B42F56">
      <w:pPr>
        <w:jc w:val="both"/>
      </w:pPr>
    </w:p>
    <w:p w:rsidR="00B42F56" w:rsidRDefault="00FC70DE">
      <w:r>
        <w:t>È stato redatto  tenendo conto dell’aggiornamento degli inventario alla data del 31/12/2019</w:t>
      </w:r>
      <w:r w:rsidR="00691D98">
        <w:br w:type="page"/>
      </w:r>
    </w:p>
    <w:p w:rsidR="00B42F56" w:rsidRDefault="00691D98">
      <w:pPr>
        <w:pStyle w:val="Titolo1"/>
      </w:pPr>
      <w:bookmarkStart w:id="8" w:name="_Toc477717561"/>
      <w:r>
        <w:lastRenderedPageBreak/>
        <w:t>LE CONCLUSIONI</w:t>
      </w:r>
      <w:bookmarkEnd w:id="8"/>
    </w:p>
    <w:p w:rsidR="00B42F56" w:rsidRDefault="004D7930">
      <w:pPr>
        <w:jc w:val="both"/>
      </w:pPr>
      <w:r>
        <w:t xml:space="preserve"> </w:t>
      </w:r>
      <w:bookmarkStart w:id="9" w:name="_GoBack"/>
      <w:bookmarkEnd w:id="9"/>
    </w:p>
    <w:p w:rsidR="00B42F56" w:rsidRDefault="00B42F56">
      <w:pPr>
        <w:jc w:val="both"/>
      </w:pPr>
    </w:p>
    <w:p w:rsidR="00B42F56" w:rsidRDefault="00B42F56">
      <w:pPr>
        <w:jc w:val="both"/>
      </w:pPr>
    </w:p>
    <w:p w:rsidR="00DB66EE" w:rsidRDefault="00691D98">
      <w:pPr>
        <w:jc w:val="both"/>
      </w:pPr>
      <w:r>
        <w:t xml:space="preserve">I dati illustrati e commentati rappresentano in modo veritiero e corretto la situazione finanziaria, economico e patrimoniale del Comune </w:t>
      </w:r>
    </w:p>
    <w:p w:rsidR="00DB66EE" w:rsidRDefault="00DB66EE">
      <w:pPr>
        <w:jc w:val="both"/>
      </w:pPr>
    </w:p>
    <w:p w:rsidR="00DB66EE" w:rsidRDefault="00DB66EE">
      <w:pPr>
        <w:jc w:val="both"/>
      </w:pPr>
    </w:p>
    <w:p w:rsidR="00DB66EE" w:rsidRDefault="00DB66EE">
      <w:pPr>
        <w:jc w:val="both"/>
      </w:pPr>
    </w:p>
    <w:p w:rsidR="00B42F56" w:rsidRDefault="00DB66EE">
      <w:pPr>
        <w:jc w:val="both"/>
      </w:pPr>
      <w:r>
        <w:t>Sarroch 30 giugno 2020</w:t>
      </w:r>
    </w:p>
    <w:p w:rsidR="00B42F56" w:rsidRDefault="00B42F56">
      <w:pPr>
        <w:jc w:val="both"/>
      </w:pPr>
    </w:p>
    <w:p w:rsidR="00B42F56" w:rsidRDefault="00B42F56">
      <w:pPr>
        <w:jc w:val="both"/>
      </w:pPr>
    </w:p>
    <w:p w:rsidR="00B42F56" w:rsidRDefault="00691D98">
      <w:pPr>
        <w:tabs>
          <w:tab w:val="center" w:pos="1701"/>
          <w:tab w:val="center" w:pos="4678"/>
          <w:tab w:val="center" w:pos="7938"/>
        </w:tabs>
        <w:jc w:val="both"/>
      </w:pPr>
      <w:r>
        <w:tab/>
        <w:t>Il Segretario Generale</w:t>
      </w:r>
      <w:r>
        <w:tab/>
      </w:r>
      <w:r>
        <w:tab/>
        <w:t>Il Responsabile del Servizio</w:t>
      </w:r>
    </w:p>
    <w:p w:rsidR="00B42F56" w:rsidRDefault="00691D98">
      <w:pPr>
        <w:tabs>
          <w:tab w:val="center" w:pos="1701"/>
          <w:tab w:val="center" w:pos="4678"/>
          <w:tab w:val="center" w:pos="7938"/>
        </w:tabs>
        <w:jc w:val="both"/>
      </w:pPr>
      <w:r>
        <w:tab/>
      </w:r>
      <w:r>
        <w:tab/>
      </w:r>
      <w:r>
        <w:tab/>
        <w:t>Finanziario</w:t>
      </w:r>
    </w:p>
    <w:p w:rsidR="00B42F56" w:rsidRDefault="00691D98">
      <w:pPr>
        <w:tabs>
          <w:tab w:val="center" w:pos="1701"/>
          <w:tab w:val="center" w:pos="4678"/>
          <w:tab w:val="center" w:pos="7938"/>
        </w:tabs>
        <w:jc w:val="both"/>
        <w:rPr>
          <w:i/>
        </w:rPr>
      </w:pPr>
      <w:r>
        <w:rPr>
          <w:i/>
        </w:rPr>
        <w:tab/>
      </w:r>
      <w:r w:rsidR="00DB66EE">
        <w:rPr>
          <w:i/>
        </w:rPr>
        <w:t xml:space="preserve"> </w:t>
      </w:r>
      <w:r>
        <w:rPr>
          <w:i/>
        </w:rPr>
        <w:tab/>
      </w:r>
      <w:r>
        <w:rPr>
          <w:i/>
        </w:rPr>
        <w:tab/>
      </w:r>
      <w:r w:rsidR="00DB66EE">
        <w:rPr>
          <w:i/>
        </w:rPr>
        <w:t xml:space="preserve"> </w:t>
      </w:r>
      <w:r>
        <w:rPr>
          <w:i/>
        </w:rPr>
        <w:t xml:space="preserve"> </w:t>
      </w:r>
    </w:p>
    <w:p w:rsidR="00B42F56" w:rsidRDefault="00691D98">
      <w:pPr>
        <w:tabs>
          <w:tab w:val="center" w:pos="1701"/>
          <w:tab w:val="center" w:pos="4678"/>
          <w:tab w:val="center" w:pos="7938"/>
        </w:tabs>
        <w:jc w:val="both"/>
      </w:pPr>
      <w:r>
        <w:tab/>
      </w:r>
      <w:r>
        <w:tab/>
        <w:t>Il Sindaco</w:t>
      </w:r>
    </w:p>
    <w:p w:rsidR="00B42F56" w:rsidRDefault="00691D98">
      <w:pPr>
        <w:tabs>
          <w:tab w:val="center" w:pos="1701"/>
          <w:tab w:val="center" w:pos="4678"/>
          <w:tab w:val="center" w:pos="7938"/>
        </w:tabs>
        <w:jc w:val="both"/>
        <w:rPr>
          <w:i/>
        </w:rPr>
      </w:pPr>
      <w:r>
        <w:tab/>
      </w:r>
      <w:r>
        <w:tab/>
      </w:r>
      <w:r>
        <w:rPr>
          <w:i/>
        </w:rPr>
        <w:t>..</w:t>
      </w:r>
    </w:p>
    <w:sectPr w:rsidR="00B42F56">
      <w:headerReference w:type="default" r:id="rId17"/>
      <w:pgSz w:w="12240" w:h="15840"/>
      <w:pgMar w:top="720" w:right="288" w:bottom="720" w:left="28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6F" w:rsidRDefault="00DE366F">
      <w:r>
        <w:separator/>
      </w:r>
    </w:p>
  </w:endnote>
  <w:endnote w:type="continuationSeparator" w:id="0">
    <w:p w:rsidR="00DE366F" w:rsidRDefault="00DE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avita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6F" w:rsidRDefault="00DE366F">
      <w:r>
        <w:separator/>
      </w:r>
    </w:p>
  </w:footnote>
  <w:footnote w:type="continuationSeparator" w:id="0">
    <w:p w:rsidR="00DE366F" w:rsidRDefault="00DE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C7" w:rsidRDefault="008E1BC7">
    <w:pPr>
      <w:pStyle w:val="Intestazione"/>
    </w:pPr>
    <w:r>
      <w:tab/>
    </w:r>
    <w:r>
      <w:tab/>
    </w:r>
  </w:p>
  <w:p w:rsidR="008E1BC7" w:rsidRDefault="008E1BC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1968"/>
    <w:multiLevelType w:val="multilevel"/>
    <w:tmpl w:val="D09C8416"/>
    <w:lvl w:ilvl="0">
      <w:start w:val="1"/>
      <w:numFmt w:val="decimal"/>
      <w:lvlText w:val="-"/>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D075B36"/>
    <w:multiLevelType w:val="hybridMultilevel"/>
    <w:tmpl w:val="BEB6F0C6"/>
    <w:lvl w:ilvl="0" w:tplc="029D360D">
      <w:start w:val="1"/>
      <w:numFmt w:val="decimal"/>
      <w:lvlText w:val="·"/>
      <w:lvlJc w:val="left"/>
      <w:pPr>
        <w:ind w:left="720" w:hanging="360"/>
      </w:pPr>
      <w:rPr>
        <w:rFonts w:ascii="Symbol" w:hAnsi="Symbol"/>
      </w:rPr>
    </w:lvl>
    <w:lvl w:ilvl="1" w:tplc="25D7D246">
      <w:start w:val="1"/>
      <w:numFmt w:val="decimal"/>
      <w:lvlText w:val="o"/>
      <w:lvlJc w:val="left"/>
      <w:pPr>
        <w:ind w:left="1440" w:hanging="360"/>
      </w:pPr>
      <w:rPr>
        <w:rFonts w:ascii="Symbol" w:hAnsi="Symbol"/>
      </w:rPr>
    </w:lvl>
    <w:lvl w:ilvl="2" w:tplc="4D4A46FF">
      <w:start w:val="1"/>
      <w:numFmt w:val="decimal"/>
      <w:lvlText w:val="·"/>
      <w:lvlJc w:val="left"/>
      <w:pPr>
        <w:ind w:left="2160" w:hanging="360"/>
      </w:pPr>
      <w:rPr>
        <w:rFonts w:ascii="Symbol" w:hAnsi="Symbol"/>
      </w:rPr>
    </w:lvl>
    <w:lvl w:ilvl="3" w:tplc="22FF0695">
      <w:start w:val="1"/>
      <w:numFmt w:val="decimal"/>
      <w:lvlText w:val="o"/>
      <w:lvlJc w:val="left"/>
      <w:pPr>
        <w:ind w:left="2880" w:hanging="360"/>
      </w:pPr>
      <w:rPr>
        <w:rFonts w:ascii="Symbol" w:hAnsi="Symbol"/>
      </w:rPr>
    </w:lvl>
    <w:lvl w:ilvl="4" w:tplc="08C00C37">
      <w:start w:val="1"/>
      <w:numFmt w:val="decimal"/>
      <w:lvlText w:val="·"/>
      <w:lvlJc w:val="left"/>
      <w:pPr>
        <w:ind w:left="3600" w:hanging="360"/>
      </w:pPr>
      <w:rPr>
        <w:rFonts w:ascii="Symbol" w:hAnsi="Symbol"/>
      </w:rPr>
    </w:lvl>
    <w:lvl w:ilvl="5" w:tplc="6425F124">
      <w:start w:val="1"/>
      <w:numFmt w:val="decimal"/>
      <w:lvlText w:val="o"/>
      <w:lvlJc w:val="left"/>
      <w:pPr>
        <w:ind w:left="4320" w:hanging="360"/>
      </w:pPr>
      <w:rPr>
        <w:rFonts w:ascii="Symbol" w:hAnsi="Symbol"/>
      </w:rPr>
    </w:lvl>
    <w:lvl w:ilvl="6" w:tplc="62895785">
      <w:start w:val="1"/>
      <w:numFmt w:val="decimal"/>
      <w:lvlText w:val="·"/>
      <w:lvlJc w:val="left"/>
      <w:pPr>
        <w:ind w:left="5040" w:hanging="360"/>
      </w:pPr>
      <w:rPr>
        <w:rFonts w:ascii="Symbol" w:hAnsi="Symbol"/>
      </w:rPr>
    </w:lvl>
    <w:lvl w:ilvl="7" w:tplc="693F410F">
      <w:start w:val="1"/>
      <w:numFmt w:val="decimal"/>
      <w:lvlText w:val="o"/>
      <w:lvlJc w:val="left"/>
      <w:pPr>
        <w:ind w:left="5760" w:hanging="360"/>
      </w:pPr>
      <w:rPr>
        <w:rFonts w:ascii="Symbol" w:hAnsi="Symbol"/>
      </w:rPr>
    </w:lvl>
    <w:lvl w:ilvl="8" w:tplc="6C6B5B14">
      <w:start w:val="1"/>
      <w:numFmt w:val="decimal"/>
      <w:lvlText w:val="·"/>
      <w:lvlJc w:val="left"/>
      <w:pPr>
        <w:ind w:left="6480" w:hanging="360"/>
      </w:pPr>
      <w:rPr>
        <w:rFonts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56"/>
    <w:rsid w:val="00091AF2"/>
    <w:rsid w:val="00207B5C"/>
    <w:rsid w:val="00304018"/>
    <w:rsid w:val="00326E52"/>
    <w:rsid w:val="004A2E7D"/>
    <w:rsid w:val="004D7930"/>
    <w:rsid w:val="005428AC"/>
    <w:rsid w:val="00567A8F"/>
    <w:rsid w:val="00593AB4"/>
    <w:rsid w:val="005A59DD"/>
    <w:rsid w:val="005E0B67"/>
    <w:rsid w:val="005E5A15"/>
    <w:rsid w:val="0060143A"/>
    <w:rsid w:val="00606FCF"/>
    <w:rsid w:val="00650C07"/>
    <w:rsid w:val="006742C4"/>
    <w:rsid w:val="00691D98"/>
    <w:rsid w:val="007016A6"/>
    <w:rsid w:val="008826AB"/>
    <w:rsid w:val="00887023"/>
    <w:rsid w:val="008B5130"/>
    <w:rsid w:val="008E1BC7"/>
    <w:rsid w:val="00930BB2"/>
    <w:rsid w:val="00A051B0"/>
    <w:rsid w:val="00A14FE0"/>
    <w:rsid w:val="00A31BF7"/>
    <w:rsid w:val="00AC4543"/>
    <w:rsid w:val="00B06510"/>
    <w:rsid w:val="00B42F56"/>
    <w:rsid w:val="00BD47B2"/>
    <w:rsid w:val="00C76C0A"/>
    <w:rsid w:val="00CD112F"/>
    <w:rsid w:val="00DB66EE"/>
    <w:rsid w:val="00DE366F"/>
    <w:rsid w:val="00E954A1"/>
    <w:rsid w:val="00F04CB8"/>
    <w:rsid w:val="00FA4F47"/>
    <w:rsid w:val="00FC7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link w:val="Titolo1Carattere"/>
    <w:qFormat/>
    <w:pPr>
      <w:keepNext/>
      <w:keepLines/>
      <w:spacing w:before="240" w:line="259" w:lineRule="auto"/>
      <w:outlineLvl w:val="0"/>
    </w:pPr>
    <w:rPr>
      <w:b/>
      <w:color w:val="000000" w:themeColor="text1"/>
      <w:sz w:val="32"/>
      <w:lang w:eastAsia="en-US"/>
    </w:rPr>
  </w:style>
  <w:style w:type="paragraph" w:styleId="Titolo2">
    <w:name w:val="heading 2"/>
    <w:basedOn w:val="Normale"/>
    <w:next w:val="Normale"/>
    <w:link w:val="Titolo2Carattere"/>
    <w:qFormat/>
    <w:pPr>
      <w:keepNext/>
      <w:keepLines/>
      <w:spacing w:before="40" w:line="259" w:lineRule="auto"/>
      <w:outlineLvl w:val="1"/>
    </w:pPr>
    <w:rPr>
      <w:b/>
      <w:color w:val="000000" w:themeColor="text1"/>
      <w:sz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rPr>
      <w:lang w:eastAsia="en-US"/>
    </w:rPr>
  </w:style>
  <w:style w:type="paragraph" w:styleId="Pidipagina">
    <w:name w:val="footer"/>
    <w:basedOn w:val="Normale"/>
    <w:link w:val="PidipaginaCarattere"/>
    <w:pPr>
      <w:tabs>
        <w:tab w:val="center" w:pos="4819"/>
        <w:tab w:val="right" w:pos="9638"/>
      </w:tabs>
    </w:pPr>
    <w:rPr>
      <w:lang w:eastAsia="en-US"/>
    </w:rPr>
  </w:style>
  <w:style w:type="paragraph" w:styleId="Testocommento">
    <w:name w:val="annotation text"/>
    <w:basedOn w:val="Normale"/>
    <w:link w:val="TestocommentoCarattere"/>
    <w:semiHidden/>
    <w:pPr>
      <w:spacing w:after="160"/>
    </w:pPr>
    <w:rPr>
      <w:sz w:val="20"/>
      <w:lang w:eastAsia="en-US"/>
    </w:rPr>
  </w:style>
  <w:style w:type="paragraph" w:styleId="Soggettocommento">
    <w:name w:val="annotation subject"/>
    <w:basedOn w:val="Testocommento"/>
    <w:next w:val="Testocommento"/>
    <w:link w:val="SoggettocommentoCarattere"/>
    <w:semiHidden/>
    <w:rPr>
      <w:b/>
    </w:rPr>
  </w:style>
  <w:style w:type="paragraph" w:styleId="Testofumetto">
    <w:name w:val="Balloon Text"/>
    <w:basedOn w:val="Normale"/>
    <w:link w:val="TestofumettoCarattere"/>
    <w:semiHidden/>
    <w:rPr>
      <w:rFonts w:ascii="Segoe UI" w:hAnsi="Segoe UI"/>
      <w:sz w:val="18"/>
      <w:lang w:eastAsia="en-US"/>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1Carattere">
    <w:name w:val="Titolo 1 Carattere"/>
    <w:basedOn w:val="Carpredefinitoparagrafo"/>
    <w:link w:val="Titolo1"/>
    <w:rPr>
      <w:b/>
      <w:color w:val="000000" w:themeColor="text1"/>
      <w:sz w:val="32"/>
      <w:lang w:eastAsia="en-US"/>
    </w:rPr>
  </w:style>
  <w:style w:type="character" w:customStyle="1" w:styleId="Titolo2Carattere">
    <w:name w:val="Titolo 2 Carattere"/>
    <w:basedOn w:val="Carpredefinitoparagrafo"/>
    <w:link w:val="Titolo2"/>
    <w:rPr>
      <w:b/>
      <w:color w:val="000000" w:themeColor="text1"/>
      <w:sz w:val="26"/>
      <w:lang w:eastAsia="en-US"/>
    </w:rPr>
  </w:style>
  <w:style w:type="character" w:customStyle="1" w:styleId="IntestazioneCarattere">
    <w:name w:val="Intestazione Carattere"/>
    <w:basedOn w:val="Carpredefinitoparagrafo"/>
    <w:link w:val="Intestazione"/>
    <w:rPr>
      <w:color w:val="auto"/>
      <w:lang w:eastAsia="en-US"/>
    </w:rPr>
  </w:style>
  <w:style w:type="character" w:customStyle="1" w:styleId="PidipaginaCarattere">
    <w:name w:val="Piè di pagina Carattere"/>
    <w:basedOn w:val="Carpredefinitoparagrafo"/>
    <w:link w:val="Pidipagina"/>
    <w:rPr>
      <w:color w:val="auto"/>
      <w:lang w:eastAsia="en-US"/>
    </w:rPr>
  </w:style>
  <w:style w:type="character" w:customStyle="1" w:styleId="TestocommentoCarattere">
    <w:name w:val="Testo commento Carattere"/>
    <w:basedOn w:val="Carpredefinitoparagrafo"/>
    <w:link w:val="Testocommento"/>
    <w:semiHidden/>
    <w:rPr>
      <w:color w:val="auto"/>
      <w:sz w:val="20"/>
      <w:lang w:eastAsia="en-US"/>
    </w:rPr>
  </w:style>
  <w:style w:type="character" w:customStyle="1" w:styleId="SoggettocommentoCarattere">
    <w:name w:val="Soggetto commento Carattere"/>
    <w:basedOn w:val="TestocommentoCarattere"/>
    <w:link w:val="Soggettocommento"/>
    <w:semiHidden/>
    <w:rPr>
      <w:b/>
      <w:color w:val="auto"/>
      <w:sz w:val="20"/>
      <w:lang w:eastAsia="en-US"/>
    </w:rPr>
  </w:style>
  <w:style w:type="character" w:customStyle="1" w:styleId="TestofumettoCarattere">
    <w:name w:val="Testo fumetto Carattere"/>
    <w:basedOn w:val="Carpredefinitoparagrafo"/>
    <w:link w:val="Testofumetto"/>
    <w:semiHidden/>
    <w:rPr>
      <w:rFonts w:ascii="Segoe UI" w:hAnsi="Segoe UI"/>
      <w:color w:val="auto"/>
      <w:sz w:val="18"/>
      <w:lang w:eastAsia="en-US"/>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link w:val="Titolo1Carattere"/>
    <w:qFormat/>
    <w:pPr>
      <w:keepNext/>
      <w:keepLines/>
      <w:spacing w:before="240" w:line="259" w:lineRule="auto"/>
      <w:outlineLvl w:val="0"/>
    </w:pPr>
    <w:rPr>
      <w:b/>
      <w:color w:val="000000" w:themeColor="text1"/>
      <w:sz w:val="32"/>
      <w:lang w:eastAsia="en-US"/>
    </w:rPr>
  </w:style>
  <w:style w:type="paragraph" w:styleId="Titolo2">
    <w:name w:val="heading 2"/>
    <w:basedOn w:val="Normale"/>
    <w:next w:val="Normale"/>
    <w:link w:val="Titolo2Carattere"/>
    <w:qFormat/>
    <w:pPr>
      <w:keepNext/>
      <w:keepLines/>
      <w:spacing w:before="40" w:line="259" w:lineRule="auto"/>
      <w:outlineLvl w:val="1"/>
    </w:pPr>
    <w:rPr>
      <w:b/>
      <w:color w:val="000000" w:themeColor="text1"/>
      <w:sz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rPr>
      <w:lang w:eastAsia="en-US"/>
    </w:rPr>
  </w:style>
  <w:style w:type="paragraph" w:styleId="Pidipagina">
    <w:name w:val="footer"/>
    <w:basedOn w:val="Normale"/>
    <w:link w:val="PidipaginaCarattere"/>
    <w:pPr>
      <w:tabs>
        <w:tab w:val="center" w:pos="4819"/>
        <w:tab w:val="right" w:pos="9638"/>
      </w:tabs>
    </w:pPr>
    <w:rPr>
      <w:lang w:eastAsia="en-US"/>
    </w:rPr>
  </w:style>
  <w:style w:type="paragraph" w:styleId="Testocommento">
    <w:name w:val="annotation text"/>
    <w:basedOn w:val="Normale"/>
    <w:link w:val="TestocommentoCarattere"/>
    <w:semiHidden/>
    <w:pPr>
      <w:spacing w:after="160"/>
    </w:pPr>
    <w:rPr>
      <w:sz w:val="20"/>
      <w:lang w:eastAsia="en-US"/>
    </w:rPr>
  </w:style>
  <w:style w:type="paragraph" w:styleId="Soggettocommento">
    <w:name w:val="annotation subject"/>
    <w:basedOn w:val="Testocommento"/>
    <w:next w:val="Testocommento"/>
    <w:link w:val="SoggettocommentoCarattere"/>
    <w:semiHidden/>
    <w:rPr>
      <w:b/>
    </w:rPr>
  </w:style>
  <w:style w:type="paragraph" w:styleId="Testofumetto">
    <w:name w:val="Balloon Text"/>
    <w:basedOn w:val="Normale"/>
    <w:link w:val="TestofumettoCarattere"/>
    <w:semiHidden/>
    <w:rPr>
      <w:rFonts w:ascii="Segoe UI" w:hAnsi="Segoe UI"/>
      <w:sz w:val="18"/>
      <w:lang w:eastAsia="en-US"/>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1Carattere">
    <w:name w:val="Titolo 1 Carattere"/>
    <w:basedOn w:val="Carpredefinitoparagrafo"/>
    <w:link w:val="Titolo1"/>
    <w:rPr>
      <w:b/>
      <w:color w:val="000000" w:themeColor="text1"/>
      <w:sz w:val="32"/>
      <w:lang w:eastAsia="en-US"/>
    </w:rPr>
  </w:style>
  <w:style w:type="character" w:customStyle="1" w:styleId="Titolo2Carattere">
    <w:name w:val="Titolo 2 Carattere"/>
    <w:basedOn w:val="Carpredefinitoparagrafo"/>
    <w:link w:val="Titolo2"/>
    <w:rPr>
      <w:b/>
      <w:color w:val="000000" w:themeColor="text1"/>
      <w:sz w:val="26"/>
      <w:lang w:eastAsia="en-US"/>
    </w:rPr>
  </w:style>
  <w:style w:type="character" w:customStyle="1" w:styleId="IntestazioneCarattere">
    <w:name w:val="Intestazione Carattere"/>
    <w:basedOn w:val="Carpredefinitoparagrafo"/>
    <w:link w:val="Intestazione"/>
    <w:rPr>
      <w:color w:val="auto"/>
      <w:lang w:eastAsia="en-US"/>
    </w:rPr>
  </w:style>
  <w:style w:type="character" w:customStyle="1" w:styleId="PidipaginaCarattere">
    <w:name w:val="Piè di pagina Carattere"/>
    <w:basedOn w:val="Carpredefinitoparagrafo"/>
    <w:link w:val="Pidipagina"/>
    <w:rPr>
      <w:color w:val="auto"/>
      <w:lang w:eastAsia="en-US"/>
    </w:rPr>
  </w:style>
  <w:style w:type="character" w:customStyle="1" w:styleId="TestocommentoCarattere">
    <w:name w:val="Testo commento Carattere"/>
    <w:basedOn w:val="Carpredefinitoparagrafo"/>
    <w:link w:val="Testocommento"/>
    <w:semiHidden/>
    <w:rPr>
      <w:color w:val="auto"/>
      <w:sz w:val="20"/>
      <w:lang w:eastAsia="en-US"/>
    </w:rPr>
  </w:style>
  <w:style w:type="character" w:customStyle="1" w:styleId="SoggettocommentoCarattere">
    <w:name w:val="Soggetto commento Carattere"/>
    <w:basedOn w:val="TestocommentoCarattere"/>
    <w:link w:val="Soggettocommento"/>
    <w:semiHidden/>
    <w:rPr>
      <w:b/>
      <w:color w:val="auto"/>
      <w:sz w:val="20"/>
      <w:lang w:eastAsia="en-US"/>
    </w:rPr>
  </w:style>
  <w:style w:type="character" w:customStyle="1" w:styleId="TestofumettoCarattere">
    <w:name w:val="Testo fumetto Carattere"/>
    <w:basedOn w:val="Carpredefinitoparagrafo"/>
    <w:link w:val="Testofumetto"/>
    <w:semiHidden/>
    <w:rPr>
      <w:rFonts w:ascii="Segoe UI" w:hAnsi="Segoe UI"/>
      <w:color w:val="auto"/>
      <w:sz w:val="18"/>
      <w:lang w:eastAsia="en-US"/>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59522">
      <w:bodyDiv w:val="1"/>
      <w:marLeft w:val="0"/>
      <w:marRight w:val="0"/>
      <w:marTop w:val="0"/>
      <w:marBottom w:val="0"/>
      <w:divBdr>
        <w:top w:val="none" w:sz="0" w:space="0" w:color="auto"/>
        <w:left w:val="none" w:sz="0" w:space="0" w:color="auto"/>
        <w:bottom w:val="none" w:sz="0" w:space="0" w:color="auto"/>
        <w:right w:val="none" w:sz="0" w:space="0" w:color="auto"/>
      </w:divBdr>
    </w:div>
    <w:div w:id="214126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9EC9-E199-41D2-ADEB-96F822D3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17</Pages>
  <Words>4269</Words>
  <Characters>24335</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Bovino</dc:creator>
  <cp:lastModifiedBy>Antonella AS. Serra</cp:lastModifiedBy>
  <cp:revision>30</cp:revision>
  <dcterms:created xsi:type="dcterms:W3CDTF">2020-06-30T10:15:00Z</dcterms:created>
  <dcterms:modified xsi:type="dcterms:W3CDTF">2020-07-01T11:23:00Z</dcterms:modified>
</cp:coreProperties>
</file>