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D5" w:rsidRDefault="00271D7F" w:rsidP="00CF06AF">
      <w:pPr>
        <w:rPr>
          <w:rFonts w:ascii="Arial" w:hAnsi="Arial" w:cs="Arial"/>
        </w:rPr>
      </w:pPr>
      <w:r>
        <w:rPr>
          <w:rFonts w:ascii="Arial" w:hAnsi="Arial" w:cs="Arial"/>
        </w:rPr>
        <w:t>La presenza di eventuali debiti fuori bilancio</w:t>
      </w:r>
    </w:p>
    <w:p w:rsidR="00FE7BD4" w:rsidRDefault="00FE7BD4" w:rsidP="00CF06AF">
      <w:pPr>
        <w:rPr>
          <w:rFonts w:ascii="Arial" w:hAnsi="Arial" w:cs="Arial"/>
        </w:rPr>
      </w:pPr>
    </w:p>
    <w:p w:rsidR="00FE7BD4" w:rsidRDefault="00FE7BD4" w:rsidP="00CF06AF">
      <w:pPr>
        <w:rPr>
          <w:rFonts w:ascii="Arial" w:hAnsi="Arial" w:cs="Arial"/>
        </w:rPr>
      </w:pPr>
    </w:p>
    <w:p w:rsidR="00B10534" w:rsidRDefault="00617ECE" w:rsidP="00617ECE">
      <w:pPr>
        <w:jc w:val="center"/>
        <w:rPr>
          <w:rFonts w:ascii="Arial" w:hAnsi="Arial" w:cs="Arial"/>
          <w:b/>
          <w:i/>
        </w:rPr>
      </w:pPr>
      <w:r w:rsidRPr="00617ECE">
        <w:rPr>
          <w:rFonts w:ascii="Arial" w:hAnsi="Arial" w:cs="Arial"/>
          <w:b/>
        </w:rPr>
        <w:t xml:space="preserve">Nota integrativa al riequilibrio </w:t>
      </w:r>
      <w:r>
        <w:rPr>
          <w:rFonts w:ascii="Arial" w:hAnsi="Arial" w:cs="Arial"/>
          <w:b/>
        </w:rPr>
        <w:t xml:space="preserve">e assestamento generale  del </w:t>
      </w:r>
      <w:r w:rsidRPr="00617ECE">
        <w:rPr>
          <w:rFonts w:ascii="Arial" w:hAnsi="Arial" w:cs="Arial"/>
          <w:b/>
          <w:i/>
        </w:rPr>
        <w:t xml:space="preserve"> bilancio  esercizio finanziario 2020</w:t>
      </w:r>
    </w:p>
    <w:p w:rsidR="00617ECE" w:rsidRDefault="00617ECE" w:rsidP="00617ECE">
      <w:pPr>
        <w:jc w:val="center"/>
        <w:rPr>
          <w:rFonts w:ascii="Arial" w:hAnsi="Arial" w:cs="Arial"/>
          <w:b/>
          <w:i/>
        </w:rPr>
      </w:pPr>
    </w:p>
    <w:p w:rsidR="00617ECE" w:rsidRDefault="00617ECE" w:rsidP="00617ECE">
      <w:pPr>
        <w:rPr>
          <w:rFonts w:ascii="Arial" w:hAnsi="Arial" w:cs="Arial"/>
          <w:b/>
          <w:i/>
        </w:rPr>
      </w:pPr>
      <w:r>
        <w:rPr>
          <w:rFonts w:ascii="Arial" w:hAnsi="Arial" w:cs="Arial"/>
          <w:b/>
          <w:i/>
        </w:rPr>
        <w:t>Le norme di contabilità pubblica pongono come vincolo del bilancio di previsione l’equilibrio di bilancio. Tale principio riguarda il pareggio complessivo di competenza e di cassa , la sua osservanza impone una rigorosa valutazione di tutti i flussi di entrata e di spesa  in quanto determina anche la corretta applicazione di tutti gli altri equilibri finanziari , economici e patrimoniali che oltre ad essere presenti nella fase di previsione devono essere garantiti e rispettati in tutta la fase gestionale.</w:t>
      </w:r>
    </w:p>
    <w:p w:rsidR="00617ECE" w:rsidRDefault="00617ECE" w:rsidP="00617ECE">
      <w:pPr>
        <w:rPr>
          <w:rFonts w:ascii="Arial" w:hAnsi="Arial" w:cs="Arial"/>
          <w:b/>
          <w:i/>
        </w:rPr>
      </w:pPr>
    </w:p>
    <w:p w:rsidR="00617ECE" w:rsidRDefault="00617ECE" w:rsidP="00617ECE">
      <w:pPr>
        <w:rPr>
          <w:rFonts w:ascii="Arial" w:hAnsi="Arial" w:cs="Arial"/>
          <w:b/>
          <w:i/>
        </w:rPr>
      </w:pPr>
      <w:r>
        <w:rPr>
          <w:rFonts w:ascii="Arial" w:hAnsi="Arial" w:cs="Arial"/>
          <w:b/>
          <w:i/>
        </w:rPr>
        <w:t xml:space="preserve">L’articolo 193 del </w:t>
      </w:r>
      <w:proofErr w:type="spellStart"/>
      <w:r>
        <w:rPr>
          <w:rFonts w:ascii="Arial" w:hAnsi="Arial" w:cs="Arial"/>
          <w:b/>
          <w:i/>
        </w:rPr>
        <w:t>tuel</w:t>
      </w:r>
      <w:proofErr w:type="spellEnd"/>
      <w:r>
        <w:rPr>
          <w:rFonts w:ascii="Arial" w:hAnsi="Arial" w:cs="Arial"/>
          <w:b/>
          <w:i/>
        </w:rPr>
        <w:t xml:space="preserve"> </w:t>
      </w:r>
      <w:r w:rsidR="00AE5A25">
        <w:rPr>
          <w:rFonts w:ascii="Arial" w:hAnsi="Arial" w:cs="Arial"/>
          <w:b/>
          <w:i/>
        </w:rPr>
        <w:t xml:space="preserve"> stabilisce  che almeno una volta all’anno </w:t>
      </w:r>
      <w:r w:rsidR="003729EC">
        <w:rPr>
          <w:rFonts w:ascii="Arial" w:hAnsi="Arial" w:cs="Arial"/>
          <w:b/>
          <w:i/>
        </w:rPr>
        <w:t xml:space="preserve"> ( entro il 31 luglio)</w:t>
      </w:r>
      <w:r w:rsidR="00AE5A25">
        <w:rPr>
          <w:rFonts w:ascii="Arial" w:hAnsi="Arial" w:cs="Arial"/>
          <w:b/>
          <w:i/>
        </w:rPr>
        <w:t xml:space="preserve"> l’ente provvede con delibera consiliare a dare atto o meno del permanere degli equilibri, e in caso negativo adottare contestualmente .</w:t>
      </w:r>
    </w:p>
    <w:p w:rsidR="00AE5A25" w:rsidRDefault="00AE5A25" w:rsidP="00617ECE">
      <w:pPr>
        <w:rPr>
          <w:rFonts w:ascii="Arial" w:hAnsi="Arial" w:cs="Arial"/>
          <w:b/>
          <w:i/>
        </w:rPr>
      </w:pPr>
    </w:p>
    <w:p w:rsidR="00AE5A25" w:rsidRDefault="00AE5A25" w:rsidP="00617ECE">
      <w:pPr>
        <w:rPr>
          <w:rFonts w:ascii="Arial" w:hAnsi="Arial" w:cs="Arial"/>
          <w:b/>
          <w:i/>
        </w:rPr>
      </w:pPr>
      <w:r>
        <w:rPr>
          <w:rFonts w:ascii="Arial" w:hAnsi="Arial" w:cs="Arial"/>
          <w:b/>
          <w:i/>
        </w:rPr>
        <w:t>-Le misure necessarie a ripristinare il pareggio</w:t>
      </w:r>
    </w:p>
    <w:p w:rsidR="00AE5A25" w:rsidRDefault="00AE5A25" w:rsidP="00617ECE">
      <w:pPr>
        <w:rPr>
          <w:rFonts w:ascii="Arial" w:hAnsi="Arial" w:cs="Arial"/>
          <w:b/>
          <w:i/>
        </w:rPr>
      </w:pPr>
      <w:r>
        <w:rPr>
          <w:rFonts w:ascii="Arial" w:hAnsi="Arial" w:cs="Arial"/>
          <w:b/>
          <w:i/>
        </w:rPr>
        <w:t>-I provvedimenti per il ripiano di eventuali debiti fuori bilancio</w:t>
      </w:r>
    </w:p>
    <w:p w:rsidR="00AE5A25" w:rsidRPr="00617ECE" w:rsidRDefault="00AE5A25" w:rsidP="00617ECE">
      <w:pPr>
        <w:rPr>
          <w:rFonts w:ascii="Arial" w:hAnsi="Arial" w:cs="Arial"/>
          <w:b/>
          <w:i/>
        </w:rPr>
      </w:pPr>
      <w:r>
        <w:rPr>
          <w:rFonts w:ascii="Arial" w:hAnsi="Arial" w:cs="Arial"/>
          <w:b/>
          <w:i/>
        </w:rPr>
        <w:t>-Le iniziative ad adeguare il fon</w:t>
      </w:r>
      <w:r w:rsidR="00E4018B">
        <w:rPr>
          <w:rFonts w:ascii="Arial" w:hAnsi="Arial" w:cs="Arial"/>
          <w:b/>
          <w:i/>
        </w:rPr>
        <w:t>do crediti di dubbia esigibilità</w:t>
      </w:r>
      <w:r>
        <w:rPr>
          <w:rFonts w:ascii="Arial" w:hAnsi="Arial" w:cs="Arial"/>
          <w:b/>
          <w:i/>
        </w:rPr>
        <w:t xml:space="preserve"> accantonato nel risultato di amministrazione in caso di gravi  squilibri riguardanti la gestione dei residui.</w:t>
      </w:r>
    </w:p>
    <w:p w:rsidR="003005D5" w:rsidRDefault="00617ECE" w:rsidP="00CF06AF">
      <w:pPr>
        <w:rPr>
          <w:rFonts w:ascii="Arial" w:hAnsi="Arial" w:cs="Arial"/>
        </w:rPr>
      </w:pPr>
      <w:r>
        <w:rPr>
          <w:rFonts w:ascii="Arial" w:hAnsi="Arial" w:cs="Arial"/>
        </w:rPr>
        <w:t xml:space="preserve"> </w:t>
      </w:r>
    </w:p>
    <w:p w:rsidR="003729EC" w:rsidRDefault="003373F8" w:rsidP="00CF06AF">
      <w:pPr>
        <w:rPr>
          <w:rFonts w:ascii="Arial" w:hAnsi="Arial" w:cs="Arial"/>
        </w:rPr>
      </w:pPr>
      <w:r>
        <w:rPr>
          <w:rFonts w:ascii="Arial" w:hAnsi="Arial" w:cs="Arial"/>
        </w:rPr>
        <w:t>Il decreto  104/2020  con l’articolo 54 in considerazione delle condizioni di incertezza sulla quantità  delle risorse disponibili per gli enti locali sposta la scadenza per la verifica della salvaguardia degli equilibri al 30 novembre 20020</w:t>
      </w:r>
    </w:p>
    <w:p w:rsidR="003373F8" w:rsidRDefault="003373F8" w:rsidP="00CF06AF">
      <w:pPr>
        <w:rPr>
          <w:rFonts w:ascii="Arial" w:hAnsi="Arial" w:cs="Arial"/>
        </w:rPr>
      </w:pPr>
    </w:p>
    <w:p w:rsidR="003373F8" w:rsidRDefault="003813BB" w:rsidP="00CF06AF">
      <w:pPr>
        <w:rPr>
          <w:rFonts w:ascii="Arial" w:hAnsi="Arial" w:cs="Arial"/>
        </w:rPr>
      </w:pPr>
      <w:r>
        <w:rPr>
          <w:rFonts w:ascii="Arial" w:hAnsi="Arial" w:cs="Arial"/>
        </w:rPr>
        <w:t>Nel corso dell’esercizio 2020  per via dell’emergenza sanitaria derivata dalla pandemia  Covid-19 sono stati adottati una serie di misure che hanno influenzato in maniera determinate l’andamento  sia delle entrate  che delle spese :</w:t>
      </w:r>
    </w:p>
    <w:p w:rsidR="003813BB" w:rsidRDefault="003813BB" w:rsidP="00CF06AF">
      <w:pPr>
        <w:rPr>
          <w:rFonts w:ascii="Arial" w:hAnsi="Arial" w:cs="Arial"/>
        </w:rPr>
      </w:pPr>
    </w:p>
    <w:p w:rsidR="003005D5" w:rsidRDefault="00E4018B" w:rsidP="00CF06AF">
      <w:pPr>
        <w:rPr>
          <w:rFonts w:ascii="Arial" w:hAnsi="Arial" w:cs="Arial"/>
        </w:rPr>
      </w:pPr>
      <w:r>
        <w:rPr>
          <w:rFonts w:ascii="Arial" w:hAnsi="Arial" w:cs="Arial"/>
        </w:rPr>
        <w:t xml:space="preserve">I </w:t>
      </w:r>
      <w:r w:rsidR="003813BB">
        <w:rPr>
          <w:rFonts w:ascii="Arial" w:hAnsi="Arial" w:cs="Arial"/>
        </w:rPr>
        <w:t xml:space="preserve">DL n 18/20 (decreto cura Italia) </w:t>
      </w:r>
      <w:r>
        <w:rPr>
          <w:rFonts w:ascii="Arial" w:hAnsi="Arial" w:cs="Arial"/>
        </w:rPr>
        <w:t xml:space="preserve"> n 34/20 ( decreto rilancio) n 104/20( misure urgenti per il sostegno e il rilancio dell’economia   con le loro misure  hanno prodotto  ristori per affrontare  l’emergenza sanitaria  ( solidarietà alimentare, il fondo per le funzioni fondamentali, fondi per sanificazione, straordinario vigili urbani,  ) ma alcune misure  quali quelle delle proroghe di sc</w:t>
      </w:r>
      <w:r w:rsidR="000D68F9">
        <w:rPr>
          <w:rFonts w:ascii="Arial" w:hAnsi="Arial" w:cs="Arial"/>
        </w:rPr>
        <w:t xml:space="preserve">adenze  hanno prodotto minori entrate come anche la disposizione del </w:t>
      </w:r>
      <w:proofErr w:type="spellStart"/>
      <w:r w:rsidR="000D68F9">
        <w:rPr>
          <w:rFonts w:ascii="Arial" w:hAnsi="Arial" w:cs="Arial"/>
        </w:rPr>
        <w:t>lockdown</w:t>
      </w:r>
      <w:proofErr w:type="spellEnd"/>
      <w:r w:rsidR="000D68F9">
        <w:rPr>
          <w:rFonts w:ascii="Arial" w:hAnsi="Arial" w:cs="Arial"/>
        </w:rPr>
        <w:t xml:space="preserve"> ha determinato una riduzione delle entrata dei servizi a domanda individuale non del tutto abbattute dai minori costi per erogazione dei servizi</w:t>
      </w:r>
      <w:r w:rsidR="009839CC">
        <w:rPr>
          <w:rFonts w:ascii="Arial" w:hAnsi="Arial" w:cs="Arial"/>
        </w:rPr>
        <w:t xml:space="preserve"> che in questa fase di riequilibrio è necessario  ripianare.</w:t>
      </w:r>
    </w:p>
    <w:p w:rsidR="009839CC" w:rsidRDefault="009839CC" w:rsidP="00CF06AF">
      <w:pPr>
        <w:rPr>
          <w:rFonts w:ascii="Arial" w:hAnsi="Arial" w:cs="Arial"/>
        </w:rPr>
      </w:pPr>
    </w:p>
    <w:p w:rsidR="009839CC" w:rsidRDefault="009839CC" w:rsidP="00CF06AF">
      <w:pPr>
        <w:rPr>
          <w:rFonts w:ascii="Arial" w:hAnsi="Arial" w:cs="Arial"/>
        </w:rPr>
      </w:pPr>
    </w:p>
    <w:p w:rsidR="003005D5" w:rsidRDefault="003005D5" w:rsidP="00CF06AF">
      <w:pPr>
        <w:rPr>
          <w:rFonts w:ascii="Arial" w:hAnsi="Arial" w:cs="Arial"/>
        </w:rPr>
      </w:pPr>
    </w:p>
    <w:p w:rsidR="003005D5" w:rsidRDefault="003005D5" w:rsidP="00CF06AF">
      <w:pPr>
        <w:rPr>
          <w:rFonts w:ascii="Arial" w:hAnsi="Arial" w:cs="Arial"/>
        </w:rPr>
      </w:pPr>
    </w:p>
    <w:p w:rsidR="003005D5" w:rsidRDefault="003005D5" w:rsidP="00CF06AF">
      <w:pPr>
        <w:rPr>
          <w:rFonts w:ascii="Arial" w:hAnsi="Arial" w:cs="Arial"/>
        </w:rPr>
      </w:pPr>
    </w:p>
    <w:p w:rsidR="003005D5" w:rsidRDefault="009839CC" w:rsidP="00CF06AF">
      <w:pPr>
        <w:rPr>
          <w:rFonts w:ascii="Arial" w:hAnsi="Arial" w:cs="Arial"/>
        </w:rPr>
      </w:pPr>
      <w:r>
        <w:rPr>
          <w:rFonts w:ascii="Arial" w:hAnsi="Arial" w:cs="Arial"/>
        </w:rPr>
        <w:t xml:space="preserve">La </w:t>
      </w:r>
      <w:r w:rsidR="00354474">
        <w:rPr>
          <w:rFonts w:ascii="Arial" w:hAnsi="Arial" w:cs="Arial"/>
        </w:rPr>
        <w:t xml:space="preserve">metodologia adottata  </w:t>
      </w:r>
      <w:r>
        <w:rPr>
          <w:rFonts w:ascii="Arial" w:hAnsi="Arial" w:cs="Arial"/>
        </w:rPr>
        <w:t xml:space="preserve"> è stata  la seguente:</w:t>
      </w:r>
    </w:p>
    <w:p w:rsidR="00354474" w:rsidRDefault="00354474" w:rsidP="00CF06AF">
      <w:pPr>
        <w:rPr>
          <w:rFonts w:ascii="Arial" w:hAnsi="Arial" w:cs="Arial"/>
        </w:rPr>
      </w:pPr>
    </w:p>
    <w:p w:rsidR="00354474" w:rsidRDefault="00354474" w:rsidP="00CF06AF">
      <w:pPr>
        <w:rPr>
          <w:rFonts w:ascii="Arial" w:hAnsi="Arial" w:cs="Arial"/>
        </w:rPr>
      </w:pPr>
      <w:r>
        <w:rPr>
          <w:rFonts w:ascii="Arial" w:hAnsi="Arial" w:cs="Arial"/>
        </w:rPr>
        <w:t>ENTRATA</w:t>
      </w:r>
    </w:p>
    <w:p w:rsidR="009839CC" w:rsidRDefault="009839CC" w:rsidP="00CF06AF">
      <w:pPr>
        <w:rPr>
          <w:rFonts w:ascii="Arial" w:hAnsi="Arial" w:cs="Arial"/>
        </w:rPr>
      </w:pPr>
    </w:p>
    <w:p w:rsidR="009839CC" w:rsidRDefault="00F45E95" w:rsidP="00CF06AF">
      <w:pPr>
        <w:rPr>
          <w:rFonts w:ascii="Arial" w:hAnsi="Arial" w:cs="Arial"/>
        </w:rPr>
      </w:pPr>
      <w:r>
        <w:rPr>
          <w:rFonts w:ascii="Arial" w:hAnsi="Arial" w:cs="Arial"/>
        </w:rPr>
        <w:t>-</w:t>
      </w:r>
      <w:r w:rsidR="009839CC">
        <w:rPr>
          <w:rFonts w:ascii="Arial" w:hAnsi="Arial" w:cs="Arial"/>
        </w:rPr>
        <w:t xml:space="preserve">Analisi degli accertamenti alla data  del 31 ottobre </w:t>
      </w:r>
    </w:p>
    <w:p w:rsidR="009839CC" w:rsidRDefault="00F45E95" w:rsidP="00CF06AF">
      <w:pPr>
        <w:rPr>
          <w:rFonts w:ascii="Arial" w:hAnsi="Arial" w:cs="Arial"/>
        </w:rPr>
      </w:pPr>
      <w:r>
        <w:rPr>
          <w:rFonts w:ascii="Arial" w:hAnsi="Arial" w:cs="Arial"/>
        </w:rPr>
        <w:t>-</w:t>
      </w:r>
      <w:r w:rsidR="009839CC">
        <w:rPr>
          <w:rFonts w:ascii="Arial" w:hAnsi="Arial" w:cs="Arial"/>
        </w:rPr>
        <w:t>Segnalazione di criticità da parte dei responsabili di area , che non  ne hanno segnalato alcuna</w:t>
      </w:r>
    </w:p>
    <w:p w:rsidR="009839CC" w:rsidRDefault="00F45E95" w:rsidP="00CF06AF">
      <w:pPr>
        <w:rPr>
          <w:rFonts w:ascii="Arial" w:hAnsi="Arial" w:cs="Arial"/>
        </w:rPr>
      </w:pPr>
      <w:r>
        <w:rPr>
          <w:rFonts w:ascii="Arial" w:hAnsi="Arial" w:cs="Arial"/>
        </w:rPr>
        <w:t>-Ipotesi di proiezione al 31 /12 2020 dando consolidati e certi solo gli accertamenti presenti e assunti nel rispetto del principio della competenza potenziata</w:t>
      </w:r>
    </w:p>
    <w:p w:rsidR="003005D5" w:rsidRDefault="003005D5" w:rsidP="00CF06AF">
      <w:pPr>
        <w:rPr>
          <w:rFonts w:ascii="Arial" w:hAnsi="Arial" w:cs="Arial"/>
        </w:rPr>
      </w:pPr>
    </w:p>
    <w:p w:rsidR="00F45E95" w:rsidRDefault="00354474" w:rsidP="00CF06AF">
      <w:pPr>
        <w:rPr>
          <w:rFonts w:ascii="Arial" w:hAnsi="Arial" w:cs="Arial"/>
        </w:rPr>
      </w:pPr>
      <w:r>
        <w:rPr>
          <w:rFonts w:ascii="Arial" w:hAnsi="Arial" w:cs="Arial"/>
        </w:rPr>
        <w:t>SPESA</w:t>
      </w:r>
    </w:p>
    <w:p w:rsidR="00F45E95" w:rsidRDefault="00F45E95" w:rsidP="00CF06AF">
      <w:pPr>
        <w:rPr>
          <w:rFonts w:ascii="Arial" w:hAnsi="Arial" w:cs="Arial"/>
        </w:rPr>
      </w:pPr>
      <w:r>
        <w:rPr>
          <w:rFonts w:ascii="Arial" w:hAnsi="Arial" w:cs="Arial"/>
        </w:rPr>
        <w:t xml:space="preserve">-Segnalazioni pervenute in tempo utile da parte dei responsabili di area inerenti economie di spesa  ,ma anche nuove necessità,  relativamente a quest’ultime  sono state prese in considerazione solo quelle indicanti anche le modalità di copertura  o attraverso utilizzo economie dei rispettivi budget attribuiti con il </w:t>
      </w:r>
      <w:proofErr w:type="spellStart"/>
      <w:r>
        <w:rPr>
          <w:rFonts w:ascii="Arial" w:hAnsi="Arial" w:cs="Arial"/>
        </w:rPr>
        <w:t>peg</w:t>
      </w:r>
      <w:proofErr w:type="spellEnd"/>
      <w:r>
        <w:rPr>
          <w:rFonts w:ascii="Arial" w:hAnsi="Arial" w:cs="Arial"/>
        </w:rPr>
        <w:t>, o nel caso consentito dalle norme contabili con utilizzo dell’avanzo di amministrazione libero.</w:t>
      </w:r>
    </w:p>
    <w:p w:rsidR="006E04EB" w:rsidRDefault="006E04EB" w:rsidP="00CF06AF">
      <w:pPr>
        <w:rPr>
          <w:rFonts w:ascii="Arial" w:hAnsi="Arial" w:cs="Arial"/>
        </w:rPr>
      </w:pPr>
    </w:p>
    <w:p w:rsidR="006E04EB" w:rsidRDefault="00F45E95" w:rsidP="00891B5D">
      <w:pPr>
        <w:rPr>
          <w:rFonts w:ascii="Arial" w:hAnsi="Arial" w:cs="Arial"/>
        </w:rPr>
      </w:pPr>
      <w:r>
        <w:rPr>
          <w:rFonts w:ascii="Arial" w:hAnsi="Arial" w:cs="Arial"/>
        </w:rPr>
        <w:t>-Dichiarazione debiti fuori bilancio ,i settori  :</w:t>
      </w:r>
    </w:p>
    <w:p w:rsidR="006E04EB" w:rsidRDefault="00F45E95" w:rsidP="00891B5D">
      <w:pPr>
        <w:rPr>
          <w:rFonts w:ascii="Arial" w:hAnsi="Arial" w:cs="Arial"/>
        </w:rPr>
      </w:pPr>
      <w:r>
        <w:rPr>
          <w:rFonts w:ascii="Arial" w:hAnsi="Arial" w:cs="Arial"/>
        </w:rPr>
        <w:t xml:space="preserve"> Amministrativo . Servizi alla persona, Ambiente edilizia privata, gestione patrimonio e politiche allo sport </w:t>
      </w:r>
      <w:r w:rsidR="0057638F">
        <w:rPr>
          <w:rFonts w:ascii="Arial" w:hAnsi="Arial" w:cs="Arial"/>
        </w:rPr>
        <w:t xml:space="preserve"> hanno correttamente  reso la dichiarazione</w:t>
      </w:r>
      <w:r w:rsidR="006E04EB">
        <w:rPr>
          <w:rFonts w:ascii="Arial" w:hAnsi="Arial" w:cs="Arial"/>
        </w:rPr>
        <w:t xml:space="preserve"> e non hanno evidenziato l’ esistenza di debiti  fuori bilanci.</w:t>
      </w:r>
    </w:p>
    <w:p w:rsidR="006E04EB" w:rsidRDefault="006E04EB" w:rsidP="00891B5D">
      <w:pPr>
        <w:rPr>
          <w:rFonts w:ascii="Arial" w:hAnsi="Arial" w:cs="Arial"/>
        </w:rPr>
      </w:pPr>
      <w:r>
        <w:rPr>
          <w:rFonts w:ascii="Arial" w:hAnsi="Arial" w:cs="Arial"/>
        </w:rPr>
        <w:t>I</w:t>
      </w:r>
      <w:r w:rsidR="00F45E95">
        <w:rPr>
          <w:rFonts w:ascii="Arial" w:hAnsi="Arial" w:cs="Arial"/>
        </w:rPr>
        <w:t xml:space="preserve">l settore della Polizia municipale non </w:t>
      </w:r>
      <w:r>
        <w:rPr>
          <w:rFonts w:ascii="Arial" w:hAnsi="Arial" w:cs="Arial"/>
        </w:rPr>
        <w:t>ha fornito alcuna dichiarazione.</w:t>
      </w:r>
    </w:p>
    <w:p w:rsidR="0057638F" w:rsidRDefault="006E04EB" w:rsidP="00891B5D">
      <w:pPr>
        <w:rPr>
          <w:rFonts w:ascii="Arial" w:hAnsi="Arial" w:cs="Arial"/>
        </w:rPr>
      </w:pPr>
      <w:r>
        <w:rPr>
          <w:rFonts w:ascii="Arial" w:hAnsi="Arial" w:cs="Arial"/>
        </w:rPr>
        <w:t>I</w:t>
      </w:r>
      <w:r w:rsidR="00F45E95">
        <w:rPr>
          <w:rFonts w:ascii="Arial" w:hAnsi="Arial" w:cs="Arial"/>
        </w:rPr>
        <w:t xml:space="preserve">l settore tecnico ha rilascio una dichiarazione di debiti fuori bilancio </w:t>
      </w:r>
      <w:r w:rsidR="00CB6D42">
        <w:rPr>
          <w:rFonts w:ascii="Arial" w:hAnsi="Arial" w:cs="Arial"/>
        </w:rPr>
        <w:t xml:space="preserve">  </w:t>
      </w:r>
      <w:r>
        <w:rPr>
          <w:rFonts w:ascii="Arial" w:hAnsi="Arial" w:cs="Arial"/>
        </w:rPr>
        <w:t xml:space="preserve">non indicante </w:t>
      </w:r>
      <w:r w:rsidR="00271D7F">
        <w:rPr>
          <w:rFonts w:ascii="Arial" w:hAnsi="Arial" w:cs="Arial"/>
        </w:rPr>
        <w:t xml:space="preserve"> alcun importo</w:t>
      </w:r>
      <w:r w:rsidR="0057638F">
        <w:rPr>
          <w:rFonts w:ascii="Arial" w:hAnsi="Arial" w:cs="Arial"/>
        </w:rPr>
        <w:t>,</w:t>
      </w:r>
      <w:r w:rsidR="00271D7F">
        <w:rPr>
          <w:rFonts w:ascii="Arial" w:hAnsi="Arial" w:cs="Arial"/>
        </w:rPr>
        <w:t xml:space="preserve"> limitandosi a dichiarare  “ la presenza di eventuali debiti fuori bilancio il cui importo sarebbe noto alla ragioniera,  a tal riguardo è necessario</w:t>
      </w:r>
      <w:r w:rsidR="0057638F">
        <w:rPr>
          <w:rFonts w:ascii="Arial" w:hAnsi="Arial" w:cs="Arial"/>
        </w:rPr>
        <w:t xml:space="preserve"> precisare </w:t>
      </w:r>
      <w:r w:rsidR="00271D7F">
        <w:rPr>
          <w:rFonts w:ascii="Arial" w:hAnsi="Arial" w:cs="Arial"/>
        </w:rPr>
        <w:t xml:space="preserve"> (al fine di evitare tentativi di coinvolgimento  pretestuosi ) che  l’</w:t>
      </w:r>
      <w:r>
        <w:rPr>
          <w:rFonts w:ascii="Arial" w:hAnsi="Arial" w:cs="Arial"/>
        </w:rPr>
        <w:t xml:space="preserve">unica  conoscenza  è  quella relativa al </w:t>
      </w:r>
      <w:r w:rsidR="00271D7F">
        <w:rPr>
          <w:rFonts w:ascii="Arial" w:hAnsi="Arial" w:cs="Arial"/>
        </w:rPr>
        <w:t xml:space="preserve"> contenzioso</w:t>
      </w:r>
      <w:r>
        <w:rPr>
          <w:rFonts w:ascii="Arial" w:hAnsi="Arial" w:cs="Arial"/>
        </w:rPr>
        <w:t xml:space="preserve"> in atto </w:t>
      </w:r>
      <w:r w:rsidR="00271D7F">
        <w:rPr>
          <w:rFonts w:ascii="Arial" w:hAnsi="Arial" w:cs="Arial"/>
        </w:rPr>
        <w:t xml:space="preserve"> tra responsabile area tecnica e amministrazione comunale</w:t>
      </w:r>
      <w:r w:rsidR="00CB6D42">
        <w:rPr>
          <w:rFonts w:ascii="Arial" w:hAnsi="Arial" w:cs="Arial"/>
        </w:rPr>
        <w:t xml:space="preserve"> </w:t>
      </w:r>
      <w:r>
        <w:rPr>
          <w:rFonts w:ascii="Arial" w:hAnsi="Arial" w:cs="Arial"/>
        </w:rPr>
        <w:t>,</w:t>
      </w:r>
      <w:r w:rsidR="00CB6D42">
        <w:rPr>
          <w:rFonts w:ascii="Arial" w:hAnsi="Arial" w:cs="Arial"/>
        </w:rPr>
        <w:t xml:space="preserve">che gli importi  </w:t>
      </w:r>
      <w:r w:rsidR="00271D7F">
        <w:rPr>
          <w:rFonts w:ascii="Arial" w:hAnsi="Arial" w:cs="Arial"/>
        </w:rPr>
        <w:t xml:space="preserve"> non sono </w:t>
      </w:r>
      <w:r w:rsidR="0057638F">
        <w:rPr>
          <w:rFonts w:ascii="Arial" w:hAnsi="Arial" w:cs="Arial"/>
        </w:rPr>
        <w:t xml:space="preserve"> no</w:t>
      </w:r>
      <w:r>
        <w:rPr>
          <w:rFonts w:ascii="Arial" w:hAnsi="Arial" w:cs="Arial"/>
        </w:rPr>
        <w:t xml:space="preserve">ti  </w:t>
      </w:r>
      <w:r w:rsidR="00271D7F">
        <w:rPr>
          <w:rFonts w:ascii="Arial" w:hAnsi="Arial" w:cs="Arial"/>
        </w:rPr>
        <w:t xml:space="preserve"> in quanto</w:t>
      </w:r>
      <w:r w:rsidR="0057638F">
        <w:rPr>
          <w:rFonts w:ascii="Arial" w:hAnsi="Arial" w:cs="Arial"/>
        </w:rPr>
        <w:t xml:space="preserve"> </w:t>
      </w:r>
      <w:r>
        <w:rPr>
          <w:rFonts w:ascii="Arial" w:hAnsi="Arial" w:cs="Arial"/>
        </w:rPr>
        <w:t xml:space="preserve"> è in corso la verifica del </w:t>
      </w:r>
      <w:r w:rsidR="0057638F">
        <w:rPr>
          <w:rFonts w:ascii="Arial" w:hAnsi="Arial" w:cs="Arial"/>
        </w:rPr>
        <w:t xml:space="preserve"> </w:t>
      </w:r>
      <w:r>
        <w:rPr>
          <w:rFonts w:ascii="Arial" w:hAnsi="Arial" w:cs="Arial"/>
        </w:rPr>
        <w:t>quantum.</w:t>
      </w:r>
    </w:p>
    <w:p w:rsidR="00891B5D" w:rsidRDefault="00271D7F" w:rsidP="00891B5D">
      <w:pPr>
        <w:rPr>
          <w:rFonts w:ascii="Arial" w:hAnsi="Arial" w:cs="Arial"/>
        </w:rPr>
      </w:pPr>
      <w:r>
        <w:rPr>
          <w:rFonts w:ascii="Arial" w:hAnsi="Arial" w:cs="Arial"/>
        </w:rPr>
        <w:t xml:space="preserve"> </w:t>
      </w:r>
      <w:r w:rsidR="00CB6D42">
        <w:rPr>
          <w:rFonts w:ascii="Arial" w:hAnsi="Arial" w:cs="Arial"/>
        </w:rPr>
        <w:t xml:space="preserve">  A tal riguardo evidenzio che il debito fuori bilancio  per essere tale e quindi legittimamente  riconoscibile e appianabile </w:t>
      </w:r>
      <w:r w:rsidR="00F1767A">
        <w:rPr>
          <w:rFonts w:ascii="Arial" w:hAnsi="Arial" w:cs="Arial"/>
        </w:rPr>
        <w:t xml:space="preserve"> ( come da indicazione del Ministero dell’interno)</w:t>
      </w:r>
      <w:r w:rsidR="00CB6D42">
        <w:rPr>
          <w:rFonts w:ascii="Arial" w:hAnsi="Arial" w:cs="Arial"/>
        </w:rPr>
        <w:t>deve essere</w:t>
      </w:r>
      <w:r w:rsidR="00891B5D">
        <w:rPr>
          <w:rFonts w:ascii="Arial" w:hAnsi="Arial" w:cs="Arial"/>
        </w:rPr>
        <w:t>:</w:t>
      </w:r>
    </w:p>
    <w:p w:rsidR="00891B5D" w:rsidRDefault="00891B5D" w:rsidP="00891B5D">
      <w:pPr>
        <w:rPr>
          <w:rFonts w:ascii="Arial" w:hAnsi="Arial" w:cs="Arial"/>
        </w:rPr>
      </w:pPr>
      <w:r>
        <w:rPr>
          <w:rFonts w:ascii="Arial" w:hAnsi="Arial" w:cs="Arial"/>
        </w:rPr>
        <w:t>-</w:t>
      </w:r>
      <w:r w:rsidR="00CB6D42">
        <w:rPr>
          <w:rFonts w:ascii="Arial" w:hAnsi="Arial" w:cs="Arial"/>
        </w:rPr>
        <w:t xml:space="preserve">  certo </w:t>
      </w:r>
      <w:r>
        <w:rPr>
          <w:rFonts w:ascii="Arial" w:hAnsi="Arial" w:cs="Arial"/>
        </w:rPr>
        <w:t xml:space="preserve"> cioè affettiva esistenza dell’obbligazione del dare ( l </w:t>
      </w:r>
      <w:r w:rsidR="00494FB9">
        <w:rPr>
          <w:rFonts w:ascii="Arial" w:hAnsi="Arial" w:cs="Arial"/>
        </w:rPr>
        <w:t>‘</w:t>
      </w:r>
      <w:r>
        <w:rPr>
          <w:rFonts w:ascii="Arial" w:hAnsi="Arial" w:cs="Arial"/>
        </w:rPr>
        <w:t xml:space="preserve">unica </w:t>
      </w:r>
      <w:r w:rsidR="00494FB9">
        <w:rPr>
          <w:rFonts w:ascii="Arial" w:hAnsi="Arial" w:cs="Arial"/>
        </w:rPr>
        <w:t xml:space="preserve">conoscenza  al momento  da parte della sottoscritta  </w:t>
      </w:r>
      <w:r>
        <w:rPr>
          <w:rFonts w:ascii="Arial" w:hAnsi="Arial" w:cs="Arial"/>
        </w:rPr>
        <w:t>è quella che tra il responsabile del settore tecnico e amministrazione comunale è in corso un contenzioso teso ad accertare</w:t>
      </w:r>
      <w:r w:rsidR="00494FB9">
        <w:rPr>
          <w:rFonts w:ascii="Arial" w:hAnsi="Arial" w:cs="Arial"/>
        </w:rPr>
        <w:t xml:space="preserve"> il quantum della pretesa avanzata.</w:t>
      </w:r>
    </w:p>
    <w:p w:rsidR="00494FB9" w:rsidRDefault="00494FB9" w:rsidP="00891B5D">
      <w:pPr>
        <w:rPr>
          <w:rFonts w:ascii="Arial" w:hAnsi="Arial" w:cs="Arial"/>
        </w:rPr>
      </w:pPr>
      <w:r>
        <w:rPr>
          <w:rFonts w:ascii="Arial" w:hAnsi="Arial" w:cs="Arial"/>
        </w:rPr>
        <w:t>-liqu</w:t>
      </w:r>
      <w:r w:rsidR="00123106">
        <w:rPr>
          <w:rFonts w:ascii="Arial" w:hAnsi="Arial" w:cs="Arial"/>
        </w:rPr>
        <w:t>ido</w:t>
      </w:r>
      <w:r>
        <w:rPr>
          <w:rFonts w:ascii="Arial" w:hAnsi="Arial" w:cs="Arial"/>
        </w:rPr>
        <w:t>, nel senso che deve essere individuato il soggetto creditore, il debito sia definito nel suo ammontare  e l’importo sia determinato o determinabile mediante una semplice operazione di calcolo aritmetico</w:t>
      </w:r>
    </w:p>
    <w:p w:rsidR="00F1767A" w:rsidRDefault="00123106" w:rsidP="00891B5D">
      <w:pPr>
        <w:rPr>
          <w:rFonts w:ascii="Arial" w:hAnsi="Arial" w:cs="Arial"/>
        </w:rPr>
      </w:pPr>
      <w:r>
        <w:rPr>
          <w:rFonts w:ascii="Arial" w:hAnsi="Arial" w:cs="Arial"/>
        </w:rPr>
        <w:t>-esigibile</w:t>
      </w:r>
      <w:r w:rsidR="00F1767A">
        <w:rPr>
          <w:rFonts w:ascii="Arial" w:hAnsi="Arial" w:cs="Arial"/>
        </w:rPr>
        <w:t>, nel senso  che il  pagamento non sia dilazionato da termine o subordinato a condizione.</w:t>
      </w:r>
    </w:p>
    <w:p w:rsidR="00F1767A" w:rsidRDefault="00F1767A" w:rsidP="00891B5D">
      <w:pPr>
        <w:rPr>
          <w:rFonts w:ascii="Arial" w:hAnsi="Arial" w:cs="Arial"/>
        </w:rPr>
      </w:pPr>
      <w:r>
        <w:rPr>
          <w:rFonts w:ascii="Arial" w:hAnsi="Arial" w:cs="Arial"/>
        </w:rPr>
        <w:t xml:space="preserve">Nell’attuale sistema </w:t>
      </w:r>
      <w:proofErr w:type="spellStart"/>
      <w:r>
        <w:rPr>
          <w:rFonts w:ascii="Arial" w:hAnsi="Arial" w:cs="Arial"/>
        </w:rPr>
        <w:t>giuscontabile</w:t>
      </w:r>
      <w:proofErr w:type="spellEnd"/>
      <w:r>
        <w:rPr>
          <w:rFonts w:ascii="Arial" w:hAnsi="Arial" w:cs="Arial"/>
        </w:rPr>
        <w:t xml:space="preserve"> </w:t>
      </w:r>
      <w:r w:rsidR="00123106">
        <w:rPr>
          <w:rFonts w:ascii="Arial" w:hAnsi="Arial" w:cs="Arial"/>
        </w:rPr>
        <w:t xml:space="preserve"> ( articolo 194 </w:t>
      </w:r>
      <w:proofErr w:type="spellStart"/>
      <w:r w:rsidR="00123106">
        <w:rPr>
          <w:rFonts w:ascii="Arial" w:hAnsi="Arial" w:cs="Arial"/>
        </w:rPr>
        <w:t>Tuel</w:t>
      </w:r>
      <w:proofErr w:type="spellEnd"/>
      <w:r w:rsidR="00123106">
        <w:rPr>
          <w:rFonts w:ascii="Arial" w:hAnsi="Arial" w:cs="Arial"/>
        </w:rPr>
        <w:t>)</w:t>
      </w:r>
      <w:r>
        <w:rPr>
          <w:rFonts w:ascii="Arial" w:hAnsi="Arial" w:cs="Arial"/>
        </w:rPr>
        <w:t xml:space="preserve">sono riconoscibili  i debiti fuori bilancio  derivanti da </w:t>
      </w:r>
      <w:r w:rsidR="00123106">
        <w:rPr>
          <w:rFonts w:ascii="Arial" w:hAnsi="Arial" w:cs="Arial"/>
        </w:rPr>
        <w:t>:</w:t>
      </w:r>
    </w:p>
    <w:p w:rsidR="00F1767A" w:rsidRDefault="00123106" w:rsidP="00891B5D">
      <w:pPr>
        <w:rPr>
          <w:rFonts w:ascii="Arial" w:hAnsi="Arial" w:cs="Arial"/>
        </w:rPr>
      </w:pPr>
      <w:r>
        <w:rPr>
          <w:rFonts w:ascii="Arial" w:hAnsi="Arial" w:cs="Arial"/>
        </w:rPr>
        <w:lastRenderedPageBreak/>
        <w:t>-</w:t>
      </w:r>
      <w:r w:rsidR="00F1767A">
        <w:rPr>
          <w:rFonts w:ascii="Arial" w:hAnsi="Arial" w:cs="Arial"/>
        </w:rPr>
        <w:t>Sentenze esecutive</w:t>
      </w:r>
    </w:p>
    <w:p w:rsidR="00F1767A" w:rsidRDefault="00123106" w:rsidP="00891B5D">
      <w:pPr>
        <w:rPr>
          <w:rFonts w:ascii="Arial" w:hAnsi="Arial" w:cs="Arial"/>
        </w:rPr>
      </w:pPr>
      <w:r>
        <w:rPr>
          <w:rFonts w:ascii="Arial" w:hAnsi="Arial" w:cs="Arial"/>
        </w:rPr>
        <w:t>-</w:t>
      </w:r>
      <w:r w:rsidR="00F1767A">
        <w:rPr>
          <w:rFonts w:ascii="Arial" w:hAnsi="Arial" w:cs="Arial"/>
        </w:rPr>
        <w:t xml:space="preserve">Copertura disavanzi di consorzi, aziende speciali e di istituzioni  </w:t>
      </w:r>
    </w:p>
    <w:p w:rsidR="00F1767A" w:rsidRDefault="00123106" w:rsidP="00891B5D">
      <w:pPr>
        <w:rPr>
          <w:rFonts w:ascii="Arial" w:hAnsi="Arial" w:cs="Arial"/>
        </w:rPr>
      </w:pPr>
      <w:r>
        <w:rPr>
          <w:rFonts w:ascii="Arial" w:hAnsi="Arial" w:cs="Arial"/>
        </w:rPr>
        <w:t>-</w:t>
      </w:r>
      <w:r w:rsidR="00F1767A">
        <w:rPr>
          <w:rFonts w:ascii="Arial" w:hAnsi="Arial" w:cs="Arial"/>
        </w:rPr>
        <w:t>Ricapitalizzazione di società di capitali  costituite per oper</w:t>
      </w:r>
      <w:r w:rsidR="00743559">
        <w:rPr>
          <w:rFonts w:ascii="Arial" w:hAnsi="Arial" w:cs="Arial"/>
        </w:rPr>
        <w:t>e</w:t>
      </w:r>
      <w:r w:rsidR="00F1767A">
        <w:rPr>
          <w:rFonts w:ascii="Arial" w:hAnsi="Arial" w:cs="Arial"/>
        </w:rPr>
        <w:t xml:space="preserve"> di pubblica utilità</w:t>
      </w:r>
    </w:p>
    <w:p w:rsidR="00F1767A" w:rsidRDefault="00123106" w:rsidP="00891B5D">
      <w:pPr>
        <w:rPr>
          <w:rFonts w:ascii="Arial" w:hAnsi="Arial" w:cs="Arial"/>
        </w:rPr>
      </w:pPr>
      <w:r>
        <w:rPr>
          <w:rFonts w:ascii="Arial" w:hAnsi="Arial" w:cs="Arial"/>
        </w:rPr>
        <w:t>-</w:t>
      </w:r>
      <w:r w:rsidR="00F1767A">
        <w:rPr>
          <w:rFonts w:ascii="Arial" w:hAnsi="Arial" w:cs="Arial"/>
        </w:rPr>
        <w:t xml:space="preserve">Acquisizione di beni e servizi ,in violazione degli obblighi di assunzione degli impegni ai sensi dell’articolo 191 del </w:t>
      </w:r>
      <w:proofErr w:type="spellStart"/>
      <w:r w:rsidR="00F1767A">
        <w:rPr>
          <w:rFonts w:ascii="Arial" w:hAnsi="Arial" w:cs="Arial"/>
        </w:rPr>
        <w:t>tuel</w:t>
      </w:r>
      <w:proofErr w:type="spellEnd"/>
      <w:r w:rsidR="00F1767A">
        <w:rPr>
          <w:rFonts w:ascii="Arial" w:hAnsi="Arial" w:cs="Arial"/>
        </w:rPr>
        <w:t>, nei limiti degli  accertati e dimostrati utilità ed arric</w:t>
      </w:r>
      <w:r w:rsidR="00743559">
        <w:rPr>
          <w:rFonts w:ascii="Arial" w:hAnsi="Arial" w:cs="Arial"/>
        </w:rPr>
        <w:t>c</w:t>
      </w:r>
      <w:r w:rsidR="00F1767A">
        <w:rPr>
          <w:rFonts w:ascii="Arial" w:hAnsi="Arial" w:cs="Arial"/>
        </w:rPr>
        <w:t>himento per l’ente</w:t>
      </w:r>
      <w:r w:rsidR="00743559">
        <w:rPr>
          <w:rFonts w:ascii="Arial" w:hAnsi="Arial" w:cs="Arial"/>
        </w:rPr>
        <w:t>, nell’ambito dell’espletamento di pubbliche funzioni</w:t>
      </w:r>
      <w:r>
        <w:rPr>
          <w:rFonts w:ascii="Arial" w:hAnsi="Arial" w:cs="Arial"/>
        </w:rPr>
        <w:t xml:space="preserve"> </w:t>
      </w:r>
      <w:r w:rsidR="00743559">
        <w:rPr>
          <w:rFonts w:ascii="Arial" w:hAnsi="Arial" w:cs="Arial"/>
        </w:rPr>
        <w:t>e servizi di competenza</w:t>
      </w:r>
    </w:p>
    <w:p w:rsidR="00494FB9" w:rsidRDefault="00123106" w:rsidP="00891B5D">
      <w:pPr>
        <w:rPr>
          <w:rFonts w:ascii="Arial" w:hAnsi="Arial" w:cs="Arial"/>
        </w:rPr>
      </w:pPr>
      <w:r>
        <w:rPr>
          <w:rFonts w:ascii="Arial" w:hAnsi="Arial" w:cs="Arial"/>
        </w:rPr>
        <w:t xml:space="preserve">Pertanto in relazione di quanto evidenziato tale richiesta </w:t>
      </w:r>
      <w:r w:rsidR="006E04EB">
        <w:rPr>
          <w:rFonts w:ascii="Arial" w:hAnsi="Arial" w:cs="Arial"/>
        </w:rPr>
        <w:t xml:space="preserve"> al momento </w:t>
      </w:r>
      <w:r>
        <w:rPr>
          <w:rFonts w:ascii="Arial" w:hAnsi="Arial" w:cs="Arial"/>
        </w:rPr>
        <w:t xml:space="preserve">non è </w:t>
      </w:r>
      <w:r w:rsidR="00282C4B">
        <w:rPr>
          <w:rFonts w:ascii="Arial" w:hAnsi="Arial" w:cs="Arial"/>
        </w:rPr>
        <w:t>ammissibile.</w:t>
      </w:r>
    </w:p>
    <w:p w:rsidR="00282C4B" w:rsidRDefault="00282C4B" w:rsidP="00891B5D">
      <w:pPr>
        <w:rPr>
          <w:rFonts w:ascii="Arial" w:hAnsi="Arial" w:cs="Arial"/>
        </w:rPr>
      </w:pPr>
    </w:p>
    <w:p w:rsidR="00282C4B" w:rsidRDefault="00354474" w:rsidP="00891B5D">
      <w:pPr>
        <w:rPr>
          <w:rFonts w:ascii="Arial" w:hAnsi="Arial" w:cs="Arial"/>
        </w:rPr>
      </w:pPr>
      <w:r>
        <w:rPr>
          <w:rFonts w:ascii="Arial" w:hAnsi="Arial" w:cs="Arial"/>
        </w:rPr>
        <w:t>GESTIONE RESIDUI</w:t>
      </w:r>
    </w:p>
    <w:p w:rsidR="00282C4B" w:rsidRDefault="00282C4B" w:rsidP="00891B5D">
      <w:pPr>
        <w:rPr>
          <w:rFonts w:ascii="Arial" w:hAnsi="Arial" w:cs="Arial"/>
        </w:rPr>
      </w:pPr>
    </w:p>
    <w:p w:rsidR="00282C4B" w:rsidRDefault="00282C4B" w:rsidP="00891B5D">
      <w:pPr>
        <w:rPr>
          <w:rFonts w:ascii="Arial" w:hAnsi="Arial" w:cs="Arial"/>
        </w:rPr>
      </w:pPr>
      <w:r>
        <w:rPr>
          <w:rFonts w:ascii="Arial" w:hAnsi="Arial" w:cs="Arial"/>
        </w:rPr>
        <w:t>Segnalazioni  di criticità da parte dei  responsabili di area</w:t>
      </w:r>
      <w:r w:rsidR="00436F39">
        <w:rPr>
          <w:rFonts w:ascii="Arial" w:hAnsi="Arial" w:cs="Arial"/>
        </w:rPr>
        <w:t>,</w:t>
      </w:r>
      <w:r>
        <w:rPr>
          <w:rFonts w:ascii="Arial" w:hAnsi="Arial" w:cs="Arial"/>
        </w:rPr>
        <w:t xml:space="preserve"> a tal riguardo sono </w:t>
      </w:r>
      <w:r w:rsidR="00731505">
        <w:rPr>
          <w:rFonts w:ascii="Arial" w:hAnsi="Arial" w:cs="Arial"/>
        </w:rPr>
        <w:t>pervenute  le segnalazioni</w:t>
      </w:r>
      <w:r>
        <w:rPr>
          <w:rFonts w:ascii="Arial" w:hAnsi="Arial" w:cs="Arial"/>
        </w:rPr>
        <w:t xml:space="preserve"> di una riduzi</w:t>
      </w:r>
      <w:r w:rsidR="00731505">
        <w:rPr>
          <w:rFonts w:ascii="Arial" w:hAnsi="Arial" w:cs="Arial"/>
        </w:rPr>
        <w:t xml:space="preserve">one di residui passivi  pari a </w:t>
      </w:r>
      <w:r>
        <w:rPr>
          <w:rFonts w:ascii="Arial" w:hAnsi="Arial" w:cs="Arial"/>
        </w:rPr>
        <w:t xml:space="preserve"> Meno  4.352,42</w:t>
      </w:r>
      <w:r w:rsidR="009065B9">
        <w:rPr>
          <w:rFonts w:ascii="Arial" w:hAnsi="Arial" w:cs="Arial"/>
        </w:rPr>
        <w:t xml:space="preserve">  euro </w:t>
      </w:r>
      <w:r>
        <w:rPr>
          <w:rFonts w:ascii="Arial" w:hAnsi="Arial" w:cs="Arial"/>
        </w:rPr>
        <w:t xml:space="preserve">  area servizi sociali</w:t>
      </w:r>
      <w:r w:rsidR="00731505">
        <w:rPr>
          <w:rFonts w:ascii="Arial" w:hAnsi="Arial" w:cs="Arial"/>
        </w:rPr>
        <w:t xml:space="preserve">, </w:t>
      </w:r>
      <w:r w:rsidR="009065B9">
        <w:rPr>
          <w:rFonts w:ascii="Arial" w:hAnsi="Arial" w:cs="Arial"/>
        </w:rPr>
        <w:t xml:space="preserve">Meno 994,88 euro </w:t>
      </w:r>
      <w:r w:rsidR="00731505">
        <w:rPr>
          <w:rFonts w:ascii="Arial" w:hAnsi="Arial" w:cs="Arial"/>
        </w:rPr>
        <w:t xml:space="preserve"> area polizia locale.</w:t>
      </w:r>
    </w:p>
    <w:p w:rsidR="00731505" w:rsidRDefault="00731505" w:rsidP="00891B5D">
      <w:pPr>
        <w:rPr>
          <w:rFonts w:ascii="Arial" w:hAnsi="Arial" w:cs="Arial"/>
        </w:rPr>
      </w:pPr>
      <w:r>
        <w:rPr>
          <w:rFonts w:ascii="Arial" w:hAnsi="Arial" w:cs="Arial"/>
        </w:rPr>
        <w:t xml:space="preserve">Nessuna segnalazione relativamente ai residui attivi </w:t>
      </w:r>
      <w:r w:rsidR="00436F39">
        <w:rPr>
          <w:rFonts w:ascii="Arial" w:hAnsi="Arial" w:cs="Arial"/>
        </w:rPr>
        <w:t>risultanti dal rendiconto 2019.</w:t>
      </w:r>
      <w:r>
        <w:rPr>
          <w:rFonts w:ascii="Arial" w:hAnsi="Arial" w:cs="Arial"/>
        </w:rPr>
        <w:t xml:space="preserve">  Pertanto il fondo  crediti di dubbia esigibilità accantonato a risultato di amministrazione non necessità di essere aggiornato.</w:t>
      </w:r>
    </w:p>
    <w:p w:rsidR="00731505" w:rsidRDefault="00731505" w:rsidP="00891B5D">
      <w:pPr>
        <w:rPr>
          <w:rFonts w:ascii="Arial" w:hAnsi="Arial" w:cs="Arial"/>
        </w:rPr>
      </w:pPr>
    </w:p>
    <w:p w:rsidR="00354474" w:rsidRDefault="00354474" w:rsidP="00891B5D">
      <w:pPr>
        <w:rPr>
          <w:rFonts w:ascii="Arial" w:hAnsi="Arial" w:cs="Arial"/>
        </w:rPr>
      </w:pPr>
      <w:r>
        <w:rPr>
          <w:rFonts w:ascii="Arial" w:hAnsi="Arial" w:cs="Arial"/>
        </w:rPr>
        <w:t>FONDO CREDITI DUBBIA ESIGIBILITA’</w:t>
      </w:r>
    </w:p>
    <w:p w:rsidR="00354474" w:rsidRDefault="00354474" w:rsidP="00891B5D">
      <w:pPr>
        <w:rPr>
          <w:rFonts w:ascii="Arial" w:hAnsi="Arial" w:cs="Arial"/>
        </w:rPr>
      </w:pPr>
    </w:p>
    <w:p w:rsidR="003A3AD8" w:rsidRDefault="00436F39" w:rsidP="00891B5D">
      <w:pPr>
        <w:rPr>
          <w:rFonts w:ascii="Arial" w:hAnsi="Arial" w:cs="Arial"/>
        </w:rPr>
      </w:pPr>
      <w:r>
        <w:rPr>
          <w:rFonts w:ascii="Arial" w:hAnsi="Arial" w:cs="Arial"/>
        </w:rPr>
        <w:t xml:space="preserve"> E’  stata   fatta una accurata </w:t>
      </w:r>
      <w:r w:rsidR="00354474">
        <w:rPr>
          <w:rFonts w:ascii="Arial" w:hAnsi="Arial" w:cs="Arial"/>
        </w:rPr>
        <w:t xml:space="preserve">  revisione dell’andamento  tra  accertamenti  ed incassi   dell’entrata ( allegata alla presente) </w:t>
      </w:r>
      <w:r w:rsidR="003A3AD8">
        <w:rPr>
          <w:rFonts w:ascii="Arial" w:hAnsi="Arial" w:cs="Arial"/>
        </w:rPr>
        <w:t xml:space="preserve"> dalla quale si evince che </w:t>
      </w:r>
      <w:r w:rsidR="00354474">
        <w:rPr>
          <w:rFonts w:ascii="Arial" w:hAnsi="Arial" w:cs="Arial"/>
        </w:rPr>
        <w:t>non risulta necessario apportare alcuna  modifica in quanto</w:t>
      </w:r>
      <w:r>
        <w:rPr>
          <w:rFonts w:ascii="Arial" w:hAnsi="Arial" w:cs="Arial"/>
        </w:rPr>
        <w:t xml:space="preserve"> lo stanziamento  risultante nel bilancio  relativo all’esercizio  2020</w:t>
      </w:r>
      <w:r w:rsidR="00354474">
        <w:rPr>
          <w:rFonts w:ascii="Arial" w:hAnsi="Arial" w:cs="Arial"/>
        </w:rPr>
        <w:t xml:space="preserve"> risulta </w:t>
      </w:r>
      <w:r>
        <w:rPr>
          <w:rFonts w:ascii="Arial" w:hAnsi="Arial" w:cs="Arial"/>
        </w:rPr>
        <w:t xml:space="preserve"> congruo</w:t>
      </w:r>
    </w:p>
    <w:p w:rsidR="007E215A" w:rsidRDefault="007E215A" w:rsidP="00891B5D">
      <w:pPr>
        <w:rPr>
          <w:rFonts w:ascii="Arial" w:hAnsi="Arial" w:cs="Arial"/>
        </w:rPr>
      </w:pPr>
    </w:p>
    <w:p w:rsidR="007E215A" w:rsidRDefault="007E215A" w:rsidP="00891B5D">
      <w:pPr>
        <w:rPr>
          <w:rFonts w:ascii="Arial" w:hAnsi="Arial" w:cs="Arial"/>
        </w:rPr>
      </w:pPr>
      <w:r>
        <w:rPr>
          <w:rFonts w:ascii="Arial" w:hAnsi="Arial" w:cs="Arial"/>
        </w:rPr>
        <w:t>Dall’analisi su esposte è emersa la necessità di apportare  delle variazioni  al bilancio 2020  2021 e 2022  evidenziate nel tabulato allegato  al fine di assicurare il permanere degli equilibri di bilancio, nella stessa variazione vengono apportate anche  le variazioni  fatte dai responsabili di area  indicanti la relativa copertura finanziaria.</w:t>
      </w:r>
    </w:p>
    <w:p w:rsidR="001667CB" w:rsidRDefault="001667CB" w:rsidP="00891B5D">
      <w:pPr>
        <w:rPr>
          <w:rFonts w:ascii="Arial" w:hAnsi="Arial" w:cs="Arial"/>
        </w:rPr>
      </w:pPr>
    </w:p>
    <w:p w:rsidR="001667CB" w:rsidRDefault="001667CB" w:rsidP="00891B5D">
      <w:pPr>
        <w:rPr>
          <w:rFonts w:ascii="Arial" w:hAnsi="Arial" w:cs="Arial"/>
        </w:rPr>
      </w:pPr>
    </w:p>
    <w:p w:rsidR="00B20074" w:rsidRDefault="00B20074" w:rsidP="00CF06AF">
      <w:pPr>
        <w:rPr>
          <w:rFonts w:ascii="Arial" w:hAnsi="Arial" w:cs="Arial"/>
        </w:rPr>
      </w:pPr>
      <w:bookmarkStart w:id="0" w:name="_GoBack"/>
      <w:bookmarkEnd w:id="0"/>
    </w:p>
    <w:p w:rsidR="00B20074" w:rsidRDefault="00B20074" w:rsidP="00CF06AF">
      <w:pPr>
        <w:rPr>
          <w:rFonts w:ascii="Arial" w:hAnsi="Arial" w:cs="Arial"/>
        </w:rPr>
      </w:pPr>
    </w:p>
    <w:p w:rsidR="00B20074" w:rsidRDefault="00B20074" w:rsidP="00CF06AF">
      <w:pPr>
        <w:rPr>
          <w:rFonts w:ascii="Arial" w:hAnsi="Arial" w:cs="Arial"/>
        </w:rPr>
      </w:pPr>
    </w:p>
    <w:p w:rsidR="00B20074" w:rsidRDefault="00B20074" w:rsidP="00CF06AF">
      <w:pPr>
        <w:rPr>
          <w:rFonts w:ascii="Arial" w:hAnsi="Arial" w:cs="Arial"/>
        </w:rPr>
      </w:pPr>
    </w:p>
    <w:p w:rsidR="00B20074" w:rsidRDefault="00B20074" w:rsidP="00CF06AF">
      <w:pPr>
        <w:rPr>
          <w:rFonts w:ascii="Arial" w:hAnsi="Arial" w:cs="Arial"/>
        </w:rPr>
      </w:pPr>
    </w:p>
    <w:p w:rsidR="00B20074" w:rsidRDefault="00B20074" w:rsidP="00CF06AF">
      <w:pPr>
        <w:rPr>
          <w:rFonts w:ascii="Arial" w:hAnsi="Arial" w:cs="Arial"/>
        </w:rPr>
      </w:pPr>
    </w:p>
    <w:p w:rsidR="00CC3F0E" w:rsidRPr="00DD5433" w:rsidRDefault="00CC3F0E" w:rsidP="00DD5433">
      <w:pPr>
        <w:rPr>
          <w:rFonts w:ascii="Arial" w:hAnsi="Arial" w:cs="Arial"/>
        </w:rPr>
      </w:pPr>
      <w:r>
        <w:rPr>
          <w:rFonts w:ascii="Arial" w:hAnsi="Arial" w:cs="Arial"/>
        </w:rPr>
        <w:t xml:space="preserve">               </w:t>
      </w:r>
    </w:p>
    <w:p w:rsidR="00702589" w:rsidRPr="00DD5433" w:rsidRDefault="00DD5433" w:rsidP="00DD5433">
      <w:pPr>
        <w:rPr>
          <w:rFonts w:ascii="Arial" w:hAnsi="Arial" w:cs="Arial"/>
        </w:rPr>
      </w:pPr>
      <w:r>
        <w:rPr>
          <w:rFonts w:ascii="Arial" w:hAnsi="Arial" w:cs="Arial"/>
        </w:rPr>
        <w:t xml:space="preserve">    </w:t>
      </w:r>
      <w:r w:rsidR="005220C5" w:rsidRPr="00DD5433">
        <w:rPr>
          <w:rFonts w:ascii="Arial" w:hAnsi="Arial" w:cs="Arial"/>
        </w:rPr>
        <w:t xml:space="preserve">                                                                       </w:t>
      </w:r>
      <w:r w:rsidR="003B7543" w:rsidRPr="00DD5433">
        <w:rPr>
          <w:rFonts w:ascii="Arial" w:hAnsi="Arial" w:cs="Arial"/>
        </w:rPr>
        <w:t xml:space="preserve">                               </w:t>
      </w:r>
    </w:p>
    <w:p w:rsidR="00702589" w:rsidRDefault="00702589" w:rsidP="003E2586">
      <w:pPr>
        <w:rPr>
          <w:rFonts w:ascii="Arial" w:hAnsi="Arial" w:cs="Arial"/>
        </w:rPr>
      </w:pPr>
      <w:r>
        <w:rPr>
          <w:rFonts w:ascii="Arial" w:hAnsi="Arial" w:cs="Arial"/>
        </w:rPr>
        <w:t xml:space="preserve">                                                                                      </w:t>
      </w:r>
    </w:p>
    <w:p w:rsidR="00702589" w:rsidRDefault="00702589" w:rsidP="003E2586">
      <w:pPr>
        <w:rPr>
          <w:rFonts w:ascii="Arial" w:hAnsi="Arial" w:cs="Arial"/>
        </w:rPr>
      </w:pPr>
      <w:r>
        <w:rPr>
          <w:rFonts w:ascii="Arial" w:hAnsi="Arial" w:cs="Arial"/>
        </w:rPr>
        <w:t xml:space="preserve">                                                                                        </w:t>
      </w:r>
    </w:p>
    <w:p w:rsidR="001E35A4" w:rsidRDefault="00295E23" w:rsidP="0021180E">
      <w:pPr>
        <w:rPr>
          <w:rFonts w:ascii="Arial" w:hAnsi="Arial" w:cs="Arial"/>
        </w:rPr>
      </w:pPr>
      <w:r>
        <w:rPr>
          <w:rFonts w:ascii="Arial" w:hAnsi="Arial" w:cs="Arial"/>
        </w:rPr>
        <w:t xml:space="preserve">                                                                                               </w:t>
      </w:r>
    </w:p>
    <w:p w:rsidR="0036331C" w:rsidRDefault="0036331C" w:rsidP="00F128A8">
      <w:pPr>
        <w:rPr>
          <w:rFonts w:ascii="Arial" w:hAnsi="Arial" w:cs="Arial"/>
        </w:rPr>
      </w:pPr>
    </w:p>
    <w:p w:rsidR="0036331C" w:rsidRDefault="0036331C" w:rsidP="00F128A8">
      <w:pPr>
        <w:rPr>
          <w:rFonts w:ascii="Arial" w:hAnsi="Arial" w:cs="Arial"/>
        </w:rPr>
      </w:pPr>
    </w:p>
    <w:p w:rsidR="00624A2D" w:rsidRDefault="00624A2D">
      <w:pPr>
        <w:rPr>
          <w:rFonts w:ascii="Arial" w:hAnsi="Arial" w:cs="Arial"/>
        </w:rPr>
      </w:pPr>
    </w:p>
    <w:sectPr w:rsidR="00624A2D" w:rsidSect="005807C1">
      <w:headerReference w:type="default" r:id="rId9"/>
      <w:headerReference w:type="first" r:id="rId10"/>
      <w:footerReference w:type="first" r:id="rId11"/>
      <w:pgSz w:w="11906" w:h="16838"/>
      <w:pgMar w:top="719"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D0" w:rsidRDefault="00F049D0">
      <w:r>
        <w:separator/>
      </w:r>
    </w:p>
  </w:endnote>
  <w:endnote w:type="continuationSeparator" w:id="0">
    <w:p w:rsidR="00F049D0" w:rsidRDefault="00F0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D9" w:rsidRPr="007B0E4B" w:rsidRDefault="00453ED9" w:rsidP="005807C1">
    <w:pPr>
      <w:jc w:val="center"/>
      <w:rPr>
        <w:rFonts w:ascii="Arial" w:hAnsi="Arial" w:cs="Arial"/>
        <w:b/>
        <w:i/>
        <w:iCs/>
        <w:sz w:val="16"/>
        <w:szCs w:val="16"/>
      </w:rPr>
    </w:pPr>
    <w:r w:rsidRPr="007B0E4B">
      <w:rPr>
        <w:rFonts w:ascii="Arial" w:hAnsi="Arial" w:cs="Arial"/>
        <w:b/>
        <w:i/>
        <w:iCs/>
        <w:sz w:val="16"/>
        <w:szCs w:val="16"/>
      </w:rPr>
      <w:t xml:space="preserve">Comune di Sarroch – </w:t>
    </w:r>
    <w:r>
      <w:rPr>
        <w:rFonts w:ascii="Arial" w:hAnsi="Arial" w:cs="Arial"/>
        <w:b/>
        <w:i/>
        <w:iCs/>
        <w:sz w:val="16"/>
        <w:szCs w:val="16"/>
      </w:rPr>
      <w:t>Settore Finanziario</w:t>
    </w:r>
  </w:p>
  <w:p w:rsidR="00453ED9" w:rsidRDefault="00453ED9" w:rsidP="005807C1">
    <w:pPr>
      <w:jc w:val="center"/>
      <w:rPr>
        <w:rFonts w:ascii="Arial" w:hAnsi="Arial" w:cs="Arial"/>
        <w:iCs/>
        <w:sz w:val="16"/>
        <w:szCs w:val="16"/>
        <w:lang w:val="de-DE"/>
      </w:rPr>
    </w:pPr>
    <w:r w:rsidRPr="00BF4A41">
      <w:rPr>
        <w:rFonts w:ascii="Arial" w:hAnsi="Arial" w:cs="Arial"/>
        <w:iCs/>
        <w:sz w:val="16"/>
        <w:szCs w:val="16"/>
      </w:rPr>
      <w:t xml:space="preserve">Via </w:t>
    </w:r>
    <w:proofErr w:type="spellStart"/>
    <w:r w:rsidRPr="00BF4A41">
      <w:rPr>
        <w:rFonts w:ascii="Arial" w:hAnsi="Arial" w:cs="Arial"/>
        <w:iCs/>
        <w:sz w:val="16"/>
        <w:szCs w:val="16"/>
      </w:rPr>
      <w:t>Si</w:t>
    </w:r>
    <w:r>
      <w:rPr>
        <w:rFonts w:ascii="Arial" w:hAnsi="Arial" w:cs="Arial"/>
        <w:iCs/>
        <w:sz w:val="16"/>
        <w:szCs w:val="16"/>
      </w:rPr>
      <w:t>otto</w:t>
    </w:r>
    <w:proofErr w:type="spellEnd"/>
    <w:r>
      <w:rPr>
        <w:rFonts w:ascii="Arial" w:hAnsi="Arial" w:cs="Arial"/>
        <w:iCs/>
        <w:sz w:val="16"/>
        <w:szCs w:val="16"/>
      </w:rPr>
      <w:t xml:space="preserve"> n. 2 – 09018 Sarroch (Ca) – </w:t>
    </w:r>
    <w:r w:rsidRPr="00BF4A41">
      <w:rPr>
        <w:rFonts w:ascii="Arial" w:hAnsi="Arial" w:cs="Arial"/>
        <w:iCs/>
        <w:sz w:val="16"/>
        <w:szCs w:val="16"/>
        <w:lang w:val="de-DE"/>
      </w:rPr>
      <w:t>Tel 070</w:t>
    </w:r>
    <w:r>
      <w:rPr>
        <w:rFonts w:ascii="Arial" w:hAnsi="Arial" w:cs="Arial"/>
        <w:iCs/>
        <w:sz w:val="16"/>
        <w:szCs w:val="16"/>
        <w:lang w:val="de-DE"/>
      </w:rPr>
      <w:t>/</w:t>
    </w:r>
    <w:r w:rsidRPr="00BF4A41">
      <w:rPr>
        <w:rFonts w:ascii="Arial" w:hAnsi="Arial" w:cs="Arial"/>
        <w:iCs/>
        <w:sz w:val="16"/>
        <w:szCs w:val="16"/>
        <w:lang w:val="de-DE"/>
      </w:rPr>
      <w:t xml:space="preserve">909261 </w:t>
    </w:r>
    <w:r>
      <w:rPr>
        <w:rFonts w:ascii="Arial" w:hAnsi="Arial" w:cs="Arial"/>
        <w:iCs/>
        <w:sz w:val="16"/>
        <w:szCs w:val="16"/>
        <w:lang w:val="de-DE"/>
      </w:rPr>
      <w:t xml:space="preserve">– Fax 070/901139 </w:t>
    </w:r>
  </w:p>
  <w:p w:rsidR="00453ED9" w:rsidRDefault="00453ED9" w:rsidP="005807C1">
    <w:pPr>
      <w:jc w:val="center"/>
      <w:rPr>
        <w:rFonts w:ascii="Arial" w:hAnsi="Arial" w:cs="Arial"/>
        <w:iCs/>
        <w:sz w:val="16"/>
        <w:szCs w:val="16"/>
        <w:lang w:val="de-DE"/>
      </w:rPr>
    </w:pPr>
    <w:r>
      <w:rPr>
        <w:rFonts w:ascii="Arial" w:hAnsi="Arial" w:cs="Arial"/>
        <w:iCs/>
        <w:sz w:val="16"/>
        <w:szCs w:val="16"/>
        <w:lang w:val="de-DE"/>
      </w:rPr>
      <w:t xml:space="preserve">Web: www.comune.sarroch.ca.it </w:t>
    </w:r>
    <w:r>
      <w:rPr>
        <w:rFonts w:ascii="Arial" w:hAnsi="Arial" w:cs="Arial"/>
        <w:iCs/>
        <w:sz w:val="16"/>
        <w:szCs w:val="16"/>
      </w:rPr>
      <w:t>–</w:t>
    </w:r>
    <w:r>
      <w:rPr>
        <w:rFonts w:ascii="Arial" w:hAnsi="Arial" w:cs="Arial"/>
        <w:iCs/>
        <w:sz w:val="16"/>
        <w:szCs w:val="16"/>
        <w:lang w:val="de-DE"/>
      </w:rPr>
      <w:t xml:space="preserve"> E-Mail PEC: ragioneria.sarroch@pec.it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D0" w:rsidRDefault="00F049D0">
      <w:r>
        <w:separator/>
      </w:r>
    </w:p>
  </w:footnote>
  <w:footnote w:type="continuationSeparator" w:id="0">
    <w:p w:rsidR="00F049D0" w:rsidRDefault="00F04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D9" w:rsidRDefault="00453ED9">
    <w:pPr>
      <w:jc w:val="center"/>
      <w:rPr>
        <w:sz w:val="88"/>
        <w:szCs w:val="88"/>
      </w:rPr>
    </w:pPr>
    <w:r>
      <w:rPr>
        <w:noProof/>
      </w:rPr>
      <w:drawing>
        <wp:anchor distT="0" distB="0" distL="114300" distR="114300" simplePos="0" relativeHeight="251657216" behindDoc="0" locked="0" layoutInCell="1" allowOverlap="1" wp14:anchorId="0823D36E" wp14:editId="6172C893">
          <wp:simplePos x="0" y="0"/>
          <wp:positionH relativeFrom="column">
            <wp:posOffset>2691765</wp:posOffset>
          </wp:positionH>
          <wp:positionV relativeFrom="paragraph">
            <wp:posOffset>-114300</wp:posOffset>
          </wp:positionV>
          <wp:extent cx="851535" cy="872490"/>
          <wp:effectExtent l="0" t="0" r="5715" b="3810"/>
          <wp:wrapNone/>
          <wp:docPr id="1" name="Immagine 1" descr="s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k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1535"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3ED9" w:rsidRDefault="00453ED9">
    <w:pPr>
      <w:jc w:val="center"/>
      <w:rPr>
        <w:sz w:val="88"/>
        <w:szCs w:val="88"/>
      </w:rPr>
    </w:pPr>
    <w:r>
      <w:rPr>
        <w:sz w:val="88"/>
        <w:szCs w:val="88"/>
      </w:rPr>
      <w:t>Comune di Sarroch</w:t>
    </w:r>
  </w:p>
  <w:p w:rsidR="00453ED9" w:rsidRDefault="00453ED9">
    <w:pPr>
      <w:jc w:val="center"/>
    </w:pPr>
    <w:r>
      <w:t>Provincia di Cagliari</w:t>
    </w:r>
  </w:p>
  <w:p w:rsidR="00453ED9" w:rsidRDefault="00453ED9">
    <w:pPr>
      <w:pBdr>
        <w:bottom w:val="dotted" w:sz="4" w:space="1" w:color="auto"/>
      </w:pBdr>
      <w:jc w:val="center"/>
      <w:rPr>
        <w:smallCaps/>
        <w:spacing w:val="208"/>
        <w:sz w:val="20"/>
        <w:szCs w:val="20"/>
      </w:rPr>
    </w:pPr>
    <w:r>
      <w:rPr>
        <w:smallCaps/>
        <w:spacing w:val="208"/>
        <w:sz w:val="20"/>
        <w:szCs w:val="20"/>
      </w:rPr>
      <w:t>Servizio Finanziario</w:t>
    </w:r>
  </w:p>
  <w:p w:rsidR="00453ED9" w:rsidRDefault="00453ED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D9" w:rsidRDefault="00453ED9" w:rsidP="005807C1">
    <w:pPr>
      <w:jc w:val="center"/>
      <w:rPr>
        <w:sz w:val="88"/>
        <w:szCs w:val="88"/>
      </w:rPr>
    </w:pPr>
    <w:r>
      <w:rPr>
        <w:noProof/>
      </w:rPr>
      <w:drawing>
        <wp:anchor distT="0" distB="0" distL="114300" distR="114300" simplePos="0" relativeHeight="251658240" behindDoc="0" locked="0" layoutInCell="1" allowOverlap="1" wp14:anchorId="1B193016" wp14:editId="30568413">
          <wp:simplePos x="0" y="0"/>
          <wp:positionH relativeFrom="column">
            <wp:posOffset>2691765</wp:posOffset>
          </wp:positionH>
          <wp:positionV relativeFrom="paragraph">
            <wp:posOffset>-114300</wp:posOffset>
          </wp:positionV>
          <wp:extent cx="851535" cy="872490"/>
          <wp:effectExtent l="0" t="0" r="5715" b="3810"/>
          <wp:wrapNone/>
          <wp:docPr id="2" name="Immagine 2" descr="s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k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51535"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AFE" w:rsidRDefault="000B1AFE" w:rsidP="005807C1">
    <w:pPr>
      <w:jc w:val="center"/>
      <w:rPr>
        <w:sz w:val="16"/>
        <w:szCs w:val="16"/>
      </w:rPr>
    </w:pPr>
  </w:p>
  <w:p w:rsidR="000B1AFE" w:rsidRDefault="000B1AFE" w:rsidP="005807C1">
    <w:pPr>
      <w:jc w:val="center"/>
      <w:rPr>
        <w:sz w:val="16"/>
        <w:szCs w:val="16"/>
      </w:rPr>
    </w:pPr>
  </w:p>
  <w:p w:rsidR="000B1AFE" w:rsidRDefault="000B1AFE" w:rsidP="005807C1">
    <w:pPr>
      <w:jc w:val="center"/>
      <w:rPr>
        <w:sz w:val="32"/>
        <w:szCs w:val="32"/>
      </w:rPr>
    </w:pPr>
    <w:r>
      <w:rPr>
        <w:sz w:val="32"/>
        <w:szCs w:val="32"/>
      </w:rPr>
      <w:t>CITTA METROPOLITANA DI  CAGLIARI</w:t>
    </w:r>
  </w:p>
  <w:p w:rsidR="000B1AFE" w:rsidRPr="000B1AFE" w:rsidRDefault="000B1AFE" w:rsidP="005807C1">
    <w:pPr>
      <w:jc w:val="center"/>
      <w:rPr>
        <w:sz w:val="28"/>
        <w:szCs w:val="28"/>
      </w:rPr>
    </w:pPr>
    <w:r>
      <w:rPr>
        <w:sz w:val="28"/>
        <w:szCs w:val="28"/>
      </w:rPr>
      <w:t>COMUNE DI SARROCH</w:t>
    </w:r>
  </w:p>
  <w:p w:rsidR="00453ED9" w:rsidRPr="000B1AFE" w:rsidRDefault="00453ED9" w:rsidP="005807C1">
    <w:pPr>
      <w:jc w:val="center"/>
      <w:rPr>
        <w:sz w:val="20"/>
        <w:szCs w:val="20"/>
      </w:rPr>
    </w:pPr>
    <w:r w:rsidRPr="000B1AFE">
      <w:rPr>
        <w:sz w:val="20"/>
        <w:szCs w:val="20"/>
      </w:rPr>
      <w:t>Provincia di Cagliari</w:t>
    </w:r>
  </w:p>
  <w:p w:rsidR="00453ED9" w:rsidRPr="000B1AFE" w:rsidRDefault="00453ED9" w:rsidP="005807C1">
    <w:pPr>
      <w:pBdr>
        <w:bottom w:val="dotted" w:sz="4" w:space="1" w:color="auto"/>
      </w:pBdr>
      <w:jc w:val="center"/>
      <w:rPr>
        <w:smallCaps/>
        <w:spacing w:val="208"/>
        <w:sz w:val="16"/>
        <w:szCs w:val="16"/>
      </w:rPr>
    </w:pPr>
    <w:r w:rsidRPr="000B1AFE">
      <w:rPr>
        <w:smallCaps/>
        <w:spacing w:val="208"/>
        <w:sz w:val="16"/>
        <w:szCs w:val="16"/>
      </w:rPr>
      <w:t>Settore Finanziario</w:t>
    </w:r>
  </w:p>
  <w:p w:rsidR="000B1AFE" w:rsidRDefault="000B1A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5307"/>
    <w:multiLevelType w:val="hybridMultilevel"/>
    <w:tmpl w:val="79843F08"/>
    <w:lvl w:ilvl="0" w:tplc="C696157C">
      <w:start w:val="912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DD41FA"/>
    <w:multiLevelType w:val="hybridMultilevel"/>
    <w:tmpl w:val="3C785086"/>
    <w:lvl w:ilvl="0" w:tplc="D14E47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DD796E"/>
    <w:multiLevelType w:val="hybridMultilevel"/>
    <w:tmpl w:val="07FEFDE4"/>
    <w:lvl w:ilvl="0" w:tplc="F4B422EC">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9C0E5E"/>
    <w:multiLevelType w:val="hybridMultilevel"/>
    <w:tmpl w:val="D13EB9FA"/>
    <w:lvl w:ilvl="0" w:tplc="346C81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4549EA"/>
    <w:multiLevelType w:val="hybridMultilevel"/>
    <w:tmpl w:val="16528764"/>
    <w:lvl w:ilvl="0" w:tplc="B32C2634">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5">
    <w:nsid w:val="26931DEB"/>
    <w:multiLevelType w:val="hybridMultilevel"/>
    <w:tmpl w:val="3640AB42"/>
    <w:lvl w:ilvl="0" w:tplc="573857A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BF292A"/>
    <w:multiLevelType w:val="hybridMultilevel"/>
    <w:tmpl w:val="FA202E88"/>
    <w:lvl w:ilvl="0" w:tplc="554CD9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2C3CC1"/>
    <w:multiLevelType w:val="hybridMultilevel"/>
    <w:tmpl w:val="6CAC8062"/>
    <w:lvl w:ilvl="0" w:tplc="4B1CD150">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FD63E7C"/>
    <w:multiLevelType w:val="hybridMultilevel"/>
    <w:tmpl w:val="D3DE8BFE"/>
    <w:lvl w:ilvl="0" w:tplc="1E1C9F4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E07FC7"/>
    <w:multiLevelType w:val="hybridMultilevel"/>
    <w:tmpl w:val="4C00241E"/>
    <w:lvl w:ilvl="0" w:tplc="812033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46A314D"/>
    <w:multiLevelType w:val="hybridMultilevel"/>
    <w:tmpl w:val="736C547C"/>
    <w:lvl w:ilvl="0" w:tplc="48065E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CB84BE5"/>
    <w:multiLevelType w:val="hybridMultilevel"/>
    <w:tmpl w:val="DB76EE72"/>
    <w:lvl w:ilvl="0" w:tplc="350C7B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316103E"/>
    <w:multiLevelType w:val="hybridMultilevel"/>
    <w:tmpl w:val="4B3241A8"/>
    <w:lvl w:ilvl="0" w:tplc="3E42B4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CA3A9A"/>
    <w:multiLevelType w:val="hybridMultilevel"/>
    <w:tmpl w:val="AAB801E8"/>
    <w:lvl w:ilvl="0" w:tplc="76760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9897A72"/>
    <w:multiLevelType w:val="hybridMultilevel"/>
    <w:tmpl w:val="7C429226"/>
    <w:lvl w:ilvl="0" w:tplc="C5EA4CA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11"/>
  </w:num>
  <w:num w:numId="5">
    <w:abstractNumId w:val="12"/>
  </w:num>
  <w:num w:numId="6">
    <w:abstractNumId w:val="1"/>
  </w:num>
  <w:num w:numId="7">
    <w:abstractNumId w:val="0"/>
  </w:num>
  <w:num w:numId="8">
    <w:abstractNumId w:val="13"/>
  </w:num>
  <w:num w:numId="9">
    <w:abstractNumId w:val="9"/>
  </w:num>
  <w:num w:numId="10">
    <w:abstractNumId w:val="8"/>
  </w:num>
  <w:num w:numId="11">
    <w:abstractNumId w:val="10"/>
  </w:num>
  <w:num w:numId="12">
    <w:abstractNumId w:val="6"/>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07"/>
    <w:rsid w:val="0001238B"/>
    <w:rsid w:val="00035FD2"/>
    <w:rsid w:val="00037710"/>
    <w:rsid w:val="00046DC9"/>
    <w:rsid w:val="00056375"/>
    <w:rsid w:val="00060B37"/>
    <w:rsid w:val="00072D9A"/>
    <w:rsid w:val="00075355"/>
    <w:rsid w:val="000A269B"/>
    <w:rsid w:val="000B0478"/>
    <w:rsid w:val="000B1AFE"/>
    <w:rsid w:val="000B7628"/>
    <w:rsid w:val="000C6318"/>
    <w:rsid w:val="000D35B1"/>
    <w:rsid w:val="000D68F9"/>
    <w:rsid w:val="000E119E"/>
    <w:rsid w:val="000E2324"/>
    <w:rsid w:val="000F0E6D"/>
    <w:rsid w:val="000F70B2"/>
    <w:rsid w:val="00101BC1"/>
    <w:rsid w:val="00103FB1"/>
    <w:rsid w:val="00111F44"/>
    <w:rsid w:val="00112D5F"/>
    <w:rsid w:val="00113C3C"/>
    <w:rsid w:val="00114EF9"/>
    <w:rsid w:val="00123106"/>
    <w:rsid w:val="00151229"/>
    <w:rsid w:val="001667CB"/>
    <w:rsid w:val="00177B42"/>
    <w:rsid w:val="001B7E0E"/>
    <w:rsid w:val="001C40B5"/>
    <w:rsid w:val="001C4846"/>
    <w:rsid w:val="001C7972"/>
    <w:rsid w:val="001E0B20"/>
    <w:rsid w:val="001E35A4"/>
    <w:rsid w:val="001F6534"/>
    <w:rsid w:val="00206333"/>
    <w:rsid w:val="0021180E"/>
    <w:rsid w:val="00235D69"/>
    <w:rsid w:val="00237C23"/>
    <w:rsid w:val="0026364D"/>
    <w:rsid w:val="00271D7F"/>
    <w:rsid w:val="002771B4"/>
    <w:rsid w:val="00280B61"/>
    <w:rsid w:val="00282C4B"/>
    <w:rsid w:val="00290C7A"/>
    <w:rsid w:val="00295E23"/>
    <w:rsid w:val="002A4440"/>
    <w:rsid w:val="002A76FD"/>
    <w:rsid w:val="002B134E"/>
    <w:rsid w:val="002F183D"/>
    <w:rsid w:val="003005D5"/>
    <w:rsid w:val="00310258"/>
    <w:rsid w:val="003325BF"/>
    <w:rsid w:val="003373F8"/>
    <w:rsid w:val="003416D5"/>
    <w:rsid w:val="00347D63"/>
    <w:rsid w:val="00354474"/>
    <w:rsid w:val="0036020F"/>
    <w:rsid w:val="0036331C"/>
    <w:rsid w:val="00367D34"/>
    <w:rsid w:val="003729EC"/>
    <w:rsid w:val="00377EAB"/>
    <w:rsid w:val="003813BB"/>
    <w:rsid w:val="003833A7"/>
    <w:rsid w:val="003856B9"/>
    <w:rsid w:val="00386641"/>
    <w:rsid w:val="00394D54"/>
    <w:rsid w:val="00395B2F"/>
    <w:rsid w:val="003A3AD8"/>
    <w:rsid w:val="003B7543"/>
    <w:rsid w:val="003D7C0C"/>
    <w:rsid w:val="003E2586"/>
    <w:rsid w:val="003F50F5"/>
    <w:rsid w:val="00402C15"/>
    <w:rsid w:val="004162B4"/>
    <w:rsid w:val="00421136"/>
    <w:rsid w:val="00431F6D"/>
    <w:rsid w:val="00436F39"/>
    <w:rsid w:val="00447459"/>
    <w:rsid w:val="00453ED9"/>
    <w:rsid w:val="004879E0"/>
    <w:rsid w:val="004910DE"/>
    <w:rsid w:val="00494AF3"/>
    <w:rsid w:val="00494FB9"/>
    <w:rsid w:val="004B154B"/>
    <w:rsid w:val="004B2F17"/>
    <w:rsid w:val="004B3D0E"/>
    <w:rsid w:val="004C749E"/>
    <w:rsid w:val="004D0E38"/>
    <w:rsid w:val="004F4953"/>
    <w:rsid w:val="004F51A8"/>
    <w:rsid w:val="00503BD1"/>
    <w:rsid w:val="00505F1D"/>
    <w:rsid w:val="0051309B"/>
    <w:rsid w:val="00515D25"/>
    <w:rsid w:val="005220C5"/>
    <w:rsid w:val="005307EC"/>
    <w:rsid w:val="00537137"/>
    <w:rsid w:val="005415FF"/>
    <w:rsid w:val="00542583"/>
    <w:rsid w:val="00561543"/>
    <w:rsid w:val="0057638F"/>
    <w:rsid w:val="005807C1"/>
    <w:rsid w:val="005B122F"/>
    <w:rsid w:val="005B2965"/>
    <w:rsid w:val="005B3A61"/>
    <w:rsid w:val="005C00BA"/>
    <w:rsid w:val="005C586C"/>
    <w:rsid w:val="005E63EC"/>
    <w:rsid w:val="005F2C0A"/>
    <w:rsid w:val="005F3475"/>
    <w:rsid w:val="0060001F"/>
    <w:rsid w:val="00611DBA"/>
    <w:rsid w:val="00617ECE"/>
    <w:rsid w:val="006213AB"/>
    <w:rsid w:val="00624A2D"/>
    <w:rsid w:val="006370C7"/>
    <w:rsid w:val="00652157"/>
    <w:rsid w:val="0066453C"/>
    <w:rsid w:val="00667158"/>
    <w:rsid w:val="00672E33"/>
    <w:rsid w:val="006731F6"/>
    <w:rsid w:val="00694BFB"/>
    <w:rsid w:val="006A0EAC"/>
    <w:rsid w:val="006C3739"/>
    <w:rsid w:val="006E04EB"/>
    <w:rsid w:val="00702589"/>
    <w:rsid w:val="00705C17"/>
    <w:rsid w:val="0071561D"/>
    <w:rsid w:val="00721208"/>
    <w:rsid w:val="00721A49"/>
    <w:rsid w:val="00725DC6"/>
    <w:rsid w:val="00731505"/>
    <w:rsid w:val="0074050C"/>
    <w:rsid w:val="00743559"/>
    <w:rsid w:val="00743933"/>
    <w:rsid w:val="00757D98"/>
    <w:rsid w:val="00760ABD"/>
    <w:rsid w:val="0076409D"/>
    <w:rsid w:val="007679D1"/>
    <w:rsid w:val="00774E1F"/>
    <w:rsid w:val="00786328"/>
    <w:rsid w:val="00791B24"/>
    <w:rsid w:val="007940EB"/>
    <w:rsid w:val="007A3DAE"/>
    <w:rsid w:val="007A6757"/>
    <w:rsid w:val="007A6E24"/>
    <w:rsid w:val="007B4603"/>
    <w:rsid w:val="007C0F73"/>
    <w:rsid w:val="007D13AA"/>
    <w:rsid w:val="007D4CCE"/>
    <w:rsid w:val="007E215A"/>
    <w:rsid w:val="007E5B7D"/>
    <w:rsid w:val="007E78E5"/>
    <w:rsid w:val="00803E1D"/>
    <w:rsid w:val="00835DAB"/>
    <w:rsid w:val="00836858"/>
    <w:rsid w:val="0083721E"/>
    <w:rsid w:val="00887F88"/>
    <w:rsid w:val="00891B5D"/>
    <w:rsid w:val="00892AD9"/>
    <w:rsid w:val="00893A8A"/>
    <w:rsid w:val="00894C0B"/>
    <w:rsid w:val="008E6FBE"/>
    <w:rsid w:val="00903BCA"/>
    <w:rsid w:val="009065B9"/>
    <w:rsid w:val="009065E9"/>
    <w:rsid w:val="00915671"/>
    <w:rsid w:val="00921F68"/>
    <w:rsid w:val="00923123"/>
    <w:rsid w:val="00934302"/>
    <w:rsid w:val="009360B3"/>
    <w:rsid w:val="00943807"/>
    <w:rsid w:val="00971C7F"/>
    <w:rsid w:val="009839CC"/>
    <w:rsid w:val="00984F84"/>
    <w:rsid w:val="009A4950"/>
    <w:rsid w:val="009B4BB6"/>
    <w:rsid w:val="009C1543"/>
    <w:rsid w:val="009C231F"/>
    <w:rsid w:val="009C4E7D"/>
    <w:rsid w:val="009C7442"/>
    <w:rsid w:val="009D7153"/>
    <w:rsid w:val="009F1673"/>
    <w:rsid w:val="00A11802"/>
    <w:rsid w:val="00A441EB"/>
    <w:rsid w:val="00A87BD7"/>
    <w:rsid w:val="00AA0766"/>
    <w:rsid w:val="00AB1E30"/>
    <w:rsid w:val="00AB5D38"/>
    <w:rsid w:val="00AC3709"/>
    <w:rsid w:val="00AE5A25"/>
    <w:rsid w:val="00AF1657"/>
    <w:rsid w:val="00AF673F"/>
    <w:rsid w:val="00B0533D"/>
    <w:rsid w:val="00B10534"/>
    <w:rsid w:val="00B20074"/>
    <w:rsid w:val="00B23535"/>
    <w:rsid w:val="00B25AA7"/>
    <w:rsid w:val="00B30E24"/>
    <w:rsid w:val="00B40314"/>
    <w:rsid w:val="00B4741A"/>
    <w:rsid w:val="00B7464C"/>
    <w:rsid w:val="00B9182A"/>
    <w:rsid w:val="00BA4780"/>
    <w:rsid w:val="00BB0994"/>
    <w:rsid w:val="00BC44E7"/>
    <w:rsid w:val="00BD7892"/>
    <w:rsid w:val="00BF1FBA"/>
    <w:rsid w:val="00BF767B"/>
    <w:rsid w:val="00C069FA"/>
    <w:rsid w:val="00C10B2F"/>
    <w:rsid w:val="00C15080"/>
    <w:rsid w:val="00C24211"/>
    <w:rsid w:val="00C3311D"/>
    <w:rsid w:val="00C46966"/>
    <w:rsid w:val="00C54B38"/>
    <w:rsid w:val="00C615CE"/>
    <w:rsid w:val="00C61969"/>
    <w:rsid w:val="00C71039"/>
    <w:rsid w:val="00C92817"/>
    <w:rsid w:val="00CA34AA"/>
    <w:rsid w:val="00CA6CAD"/>
    <w:rsid w:val="00CB6D42"/>
    <w:rsid w:val="00CB76A0"/>
    <w:rsid w:val="00CC3F0E"/>
    <w:rsid w:val="00CF06AF"/>
    <w:rsid w:val="00D208E9"/>
    <w:rsid w:val="00D20B63"/>
    <w:rsid w:val="00D3219A"/>
    <w:rsid w:val="00D458E0"/>
    <w:rsid w:val="00D64C6A"/>
    <w:rsid w:val="00D66103"/>
    <w:rsid w:val="00D75D6E"/>
    <w:rsid w:val="00D96416"/>
    <w:rsid w:val="00D966D5"/>
    <w:rsid w:val="00DA2780"/>
    <w:rsid w:val="00DB7B29"/>
    <w:rsid w:val="00DD4E3E"/>
    <w:rsid w:val="00DD5433"/>
    <w:rsid w:val="00DF16ED"/>
    <w:rsid w:val="00E4018B"/>
    <w:rsid w:val="00E65735"/>
    <w:rsid w:val="00E9102D"/>
    <w:rsid w:val="00E94CE5"/>
    <w:rsid w:val="00EF46CC"/>
    <w:rsid w:val="00EF6D75"/>
    <w:rsid w:val="00F00200"/>
    <w:rsid w:val="00F032B8"/>
    <w:rsid w:val="00F049D0"/>
    <w:rsid w:val="00F128A8"/>
    <w:rsid w:val="00F1767A"/>
    <w:rsid w:val="00F223D3"/>
    <w:rsid w:val="00F25C0B"/>
    <w:rsid w:val="00F26B41"/>
    <w:rsid w:val="00F453F5"/>
    <w:rsid w:val="00F45E95"/>
    <w:rsid w:val="00F5300A"/>
    <w:rsid w:val="00F710A1"/>
    <w:rsid w:val="00F755FD"/>
    <w:rsid w:val="00F81850"/>
    <w:rsid w:val="00F82627"/>
    <w:rsid w:val="00F862DA"/>
    <w:rsid w:val="00FA03CC"/>
    <w:rsid w:val="00FA4595"/>
    <w:rsid w:val="00FA480D"/>
    <w:rsid w:val="00FB0A7B"/>
    <w:rsid w:val="00FC1A55"/>
    <w:rsid w:val="00FE7BD4"/>
    <w:rsid w:val="00FF188A"/>
    <w:rsid w:val="00FF6E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Paragrafoelenco">
    <w:name w:val="List Paragraph"/>
    <w:basedOn w:val="Normale"/>
    <w:uiPriority w:val="34"/>
    <w:qFormat/>
    <w:rsid w:val="00786328"/>
    <w:pPr>
      <w:ind w:left="720"/>
      <w:contextualSpacing/>
    </w:pPr>
  </w:style>
  <w:style w:type="character" w:styleId="Collegamentoipertestuale">
    <w:name w:val="Hyperlink"/>
    <w:basedOn w:val="Carpredefinitoparagrafo"/>
    <w:uiPriority w:val="99"/>
    <w:unhideWhenUsed/>
    <w:rsid w:val="00DF16ED"/>
    <w:rPr>
      <w:color w:val="0000FF" w:themeColor="hyperlink"/>
      <w:u w:val="single"/>
    </w:rPr>
  </w:style>
  <w:style w:type="paragraph" w:styleId="Testofumetto">
    <w:name w:val="Balloon Text"/>
    <w:basedOn w:val="Normale"/>
    <w:link w:val="TestofumettoCarattere"/>
    <w:uiPriority w:val="99"/>
    <w:semiHidden/>
    <w:unhideWhenUsed/>
    <w:rsid w:val="00B200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0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Paragrafoelenco">
    <w:name w:val="List Paragraph"/>
    <w:basedOn w:val="Normale"/>
    <w:uiPriority w:val="34"/>
    <w:qFormat/>
    <w:rsid w:val="00786328"/>
    <w:pPr>
      <w:ind w:left="720"/>
      <w:contextualSpacing/>
    </w:pPr>
  </w:style>
  <w:style w:type="character" w:styleId="Collegamentoipertestuale">
    <w:name w:val="Hyperlink"/>
    <w:basedOn w:val="Carpredefinitoparagrafo"/>
    <w:uiPriority w:val="99"/>
    <w:unhideWhenUsed/>
    <w:rsid w:val="00DF16ED"/>
    <w:rPr>
      <w:color w:val="0000FF" w:themeColor="hyperlink"/>
      <w:u w:val="single"/>
    </w:rPr>
  </w:style>
  <w:style w:type="paragraph" w:styleId="Testofumetto">
    <w:name w:val="Balloon Text"/>
    <w:basedOn w:val="Normale"/>
    <w:link w:val="TestofumettoCarattere"/>
    <w:uiPriority w:val="99"/>
    <w:semiHidden/>
    <w:unhideWhenUsed/>
    <w:rsid w:val="00B200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0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ella.serra\AppData\Local\Microsoft\Windows\Temporary%20Internet%20Files\Content.IE5\9JB211QZ\Servizio%20Finanziario%20-%20Letter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CBF3F-B567-4DC6-868B-564086F1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Servizio Finanziario - Lettera Intestata.dot</Template>
  <TotalTime>33</TotalTime>
  <Pages>3</Pages>
  <Words>1050</Words>
  <Characters>5988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Comune di Sarroch</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Antonella AS. Serra</dc:creator>
  <cp:lastModifiedBy>Antonella AS. Serra</cp:lastModifiedBy>
  <cp:revision>6</cp:revision>
  <cp:lastPrinted>2019-05-06T15:35:00Z</cp:lastPrinted>
  <dcterms:created xsi:type="dcterms:W3CDTF">2020-11-25T22:39:00Z</dcterms:created>
  <dcterms:modified xsi:type="dcterms:W3CDTF">2020-11-27T11:58:00Z</dcterms:modified>
</cp:coreProperties>
</file>