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42" w:rsidRPr="0021170E" w:rsidRDefault="009D2042" w:rsidP="009D2042">
      <w:pPr>
        <w:spacing w:after="27" w:line="259" w:lineRule="auto"/>
        <w:ind w:left="-29"/>
        <w:jc w:val="center"/>
      </w:pPr>
      <w:bookmarkStart w:id="0" w:name="_GoBack"/>
      <w:bookmarkEnd w:id="0"/>
      <w:r w:rsidRPr="00BA36B1">
        <w:rPr>
          <w:rFonts w:ascii="Calibri" w:eastAsia="Calibri" w:hAnsi="Calibri" w:cs="Calibri"/>
          <w:b/>
          <w:bCs/>
          <w:sz w:val="36"/>
          <w:szCs w:val="36"/>
        </w:rPr>
        <w:t>SERVIZI</w:t>
      </w:r>
      <w:r w:rsidRPr="00BA36B1">
        <w:rPr>
          <w:rFonts w:ascii="Calibri" w:eastAsia="Calibri" w:hAnsi="Calibri" w:cs="Calibri"/>
          <w:b/>
          <w:bCs/>
          <w:spacing w:val="-10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D’IGIENE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URBANA</w:t>
      </w:r>
      <w:r w:rsidRPr="00BA36B1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E</w:t>
      </w:r>
      <w:r w:rsidRPr="00BA36B1">
        <w:rPr>
          <w:rFonts w:ascii="Calibri" w:eastAsia="Calibri" w:hAnsi="Calibri" w:cs="Calibri"/>
          <w:b/>
          <w:bCs/>
          <w:spacing w:val="-2"/>
          <w:sz w:val="36"/>
          <w:szCs w:val="36"/>
        </w:rPr>
        <w:t xml:space="preserve"> </w:t>
      </w:r>
      <w:r w:rsidRPr="00BA36B1">
        <w:rPr>
          <w:rFonts w:ascii="Calibri" w:eastAsia="Calibri" w:hAnsi="Calibri" w:cs="Calibri"/>
          <w:b/>
          <w:bCs/>
          <w:sz w:val="36"/>
          <w:szCs w:val="36"/>
        </w:rPr>
        <w:t>COMPLEMENTARI</w:t>
      </w:r>
      <w:r w:rsidRPr="00BA36B1">
        <w:rPr>
          <w:rFonts w:ascii="Calibri" w:eastAsia="Calibri" w:hAnsi="Calibri" w:cs="Calibri"/>
          <w:b/>
          <w:bCs/>
          <w:spacing w:val="-28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w w:val="99"/>
          <w:sz w:val="36"/>
          <w:szCs w:val="36"/>
        </w:rPr>
        <w:t>DEL</w:t>
      </w:r>
      <w:r w:rsidRPr="00ED0120">
        <w:rPr>
          <w:rFonts w:ascii="Calibri" w:eastAsia="Calibri" w:hAnsi="Calibri" w:cs="Calibri"/>
          <w:b/>
          <w:bCs/>
          <w:spacing w:val="-5"/>
          <w:sz w:val="36"/>
          <w:szCs w:val="36"/>
        </w:rPr>
        <w:t xml:space="preserve"> </w:t>
      </w:r>
      <w:r w:rsidRPr="00ED0120">
        <w:rPr>
          <w:rFonts w:ascii="Calibri" w:eastAsia="Calibri" w:hAnsi="Calibri" w:cs="Calibri"/>
          <w:b/>
          <w:bCs/>
          <w:sz w:val="36"/>
          <w:szCs w:val="36"/>
        </w:rPr>
        <w:t>COMUNE</w:t>
      </w:r>
      <w:r w:rsidRPr="00ED0120">
        <w:rPr>
          <w:rFonts w:ascii="Calibri" w:eastAsia="Calibri" w:hAnsi="Calibri" w:cs="Calibri"/>
          <w:b/>
          <w:bCs/>
          <w:spacing w:val="-13"/>
          <w:sz w:val="36"/>
          <w:szCs w:val="36"/>
        </w:rPr>
        <w:t xml:space="preserve"> </w:t>
      </w:r>
      <w:proofErr w:type="spellStart"/>
      <w:r w:rsidRPr="00ED0120">
        <w:rPr>
          <w:rFonts w:ascii="Calibri" w:eastAsia="Calibri" w:hAnsi="Calibri" w:cs="Calibri"/>
          <w:b/>
          <w:bCs/>
          <w:sz w:val="36"/>
          <w:szCs w:val="36"/>
        </w:rPr>
        <w:t>DI</w:t>
      </w:r>
      <w:proofErr w:type="spellEnd"/>
      <w:r w:rsidRPr="00ED0120">
        <w:rPr>
          <w:rFonts w:ascii="Calibri" w:eastAsia="Calibri" w:hAnsi="Calibri" w:cs="Calibri"/>
          <w:b/>
          <w:bCs/>
          <w:sz w:val="36"/>
          <w:szCs w:val="36"/>
        </w:rPr>
        <w:t xml:space="preserve"> SARROCH</w:t>
      </w:r>
    </w:p>
    <w:p w:rsidR="000D606C" w:rsidRPr="003F3EAC" w:rsidRDefault="00316565" w:rsidP="003F3EAC">
      <w:pPr>
        <w:widowControl w:val="0"/>
        <w:tabs>
          <w:tab w:val="center" w:pos="4819"/>
          <w:tab w:val="left" w:pos="8330"/>
        </w:tabs>
        <w:autoSpaceDE w:val="0"/>
        <w:autoSpaceDN w:val="0"/>
        <w:adjustRightInd w:val="0"/>
        <w:spacing w:before="120" w:after="120" w:line="360" w:lineRule="exact"/>
        <w:jc w:val="both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ab/>
      </w:r>
      <w:r w:rsidR="000D606C" w:rsidRPr="003C02B4">
        <w:rPr>
          <w:rFonts w:ascii="Calibri" w:hAnsi="Calibri" w:cs="Arial"/>
          <w:b/>
          <w:sz w:val="28"/>
          <w:szCs w:val="28"/>
        </w:rPr>
        <w:t xml:space="preserve">MODELLO </w:t>
      </w:r>
      <w:r w:rsidR="003E2997">
        <w:rPr>
          <w:rFonts w:ascii="Calibri" w:hAnsi="Calibri" w:cs="Arial"/>
          <w:b/>
          <w:sz w:val="28"/>
          <w:szCs w:val="28"/>
        </w:rPr>
        <w:t>6</w:t>
      </w:r>
      <w:r>
        <w:rPr>
          <w:rFonts w:ascii="Calibri" w:hAnsi="Calibri" w:cs="Arial"/>
          <w:b/>
          <w:sz w:val="28"/>
          <w:szCs w:val="28"/>
        </w:rPr>
        <w:tab/>
      </w:r>
    </w:p>
    <w:p w:rsidR="003F3EAC" w:rsidRDefault="00756114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OFFERTA ECONOMICA E DICHIARAZIONE</w:t>
      </w:r>
      <w:r w:rsidR="003F3EAC">
        <w:rPr>
          <w:rFonts w:ascii="Arial" w:hAnsi="Arial" w:cs="Arial"/>
          <w:b/>
          <w:bCs/>
          <w:sz w:val="20"/>
          <w:szCs w:val="20"/>
        </w:rPr>
        <w:t xml:space="preserve"> in bollo da Euro 16,00</w:t>
      </w:r>
    </w:p>
    <w:p w:rsidR="00756114" w:rsidRDefault="003F3EAC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50FF5">
        <w:rPr>
          <w:rFonts w:ascii="Calibri" w:hAnsi="Calibri" w:cs="Arial"/>
          <w:sz w:val="22"/>
          <w:szCs w:val="22"/>
        </w:rPr>
        <w:t>(art. 47 D.P.R. n. 445/2000)</w:t>
      </w:r>
    </w:p>
    <w:p w:rsidR="00756114" w:rsidRDefault="00756114" w:rsidP="007561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.................................................................. (............), il 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.................................................... (............), via ................................................., n. 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......................................... cellulare ......................................... fax 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 .............................................................................. mail 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..................................................................... della ditta avente la seguente ragione sociale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sede legale .............................................................................................................................................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....................................................... partita I.V.A. ..............................................................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riferimento alla procedura di affidamento in oggetto,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compilare </w:t>
      </w:r>
      <w:r>
        <w:rPr>
          <w:rFonts w:ascii="Arial" w:hAnsi="Arial" w:cs="Arial"/>
          <w:b/>
          <w:bCs/>
          <w:sz w:val="20"/>
          <w:szCs w:val="20"/>
        </w:rPr>
        <w:t xml:space="preserve">SOLO </w:t>
      </w:r>
      <w:r>
        <w:rPr>
          <w:rFonts w:ascii="Arial" w:hAnsi="Arial" w:cs="Arial"/>
          <w:sz w:val="20"/>
          <w:szCs w:val="20"/>
        </w:rPr>
        <w:t xml:space="preserve">in caso di </w:t>
      </w:r>
      <w:r>
        <w:rPr>
          <w:rFonts w:ascii="Arial" w:hAnsi="Arial" w:cs="Arial"/>
          <w:b/>
          <w:bCs/>
          <w:sz w:val="20"/>
          <w:szCs w:val="20"/>
        </w:rPr>
        <w:t>R.T.I./CONSORZI</w:t>
      </w:r>
      <w:r>
        <w:rPr>
          <w:rFonts w:ascii="Arial" w:hAnsi="Arial" w:cs="Arial"/>
          <w:sz w:val="20"/>
          <w:szCs w:val="20"/>
        </w:rPr>
        <w:t>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Nome-cognome luogo-data di nascita del legale </w:t>
      </w:r>
      <w:r w:rsidR="00D01FA5">
        <w:rPr>
          <w:rFonts w:ascii="Arial" w:hAnsi="Arial" w:cs="Arial"/>
          <w:sz w:val="20"/>
          <w:szCs w:val="20"/>
        </w:rPr>
        <w:t>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Nome-cognome luogo-data di nascita del legale 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Impresa partecipante:</w:t>
      </w:r>
      <w:r w:rsidR="00D01F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Nome-cognome luogo-data di nascita del legale rappresentante: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seguito del bando di partecipazione alla procedura di gara in oggetto indicato, dopo aver preso piena conoscenza di tutti gli atti tecnici ed amministrativi e di tutte le condizioni contrattuali, tenuto conto di un costo del lavoro non inferiore al costo stabilito dal CCNL di categoria e dalle leggi previdenziali ed assistenziali così come determinato dalle apposite tabelle a cura della Direzione regionale del lavoro, per l’aggiudicazione dell’appalto a suo favore ed intendendo compreso e compensato nel prezzo offerto ogni altro onere previsto nel Capitolato,</w:t>
      </w:r>
    </w:p>
    <w:p w:rsidR="00756114" w:rsidRDefault="00756114" w:rsidP="005C3B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DICHIARA: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6114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t>di impegnarsi a rispettare tutti gli oneri e le clausole previste dal contratto e dagli atti di gara;</w:t>
      </w:r>
    </w:p>
    <w:p w:rsidR="00756114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t>di aver valutato tutte le circostanze che hanno portato alla determinazione del prezzo e alle condizioni contrattuali che possono influire sulle condizioni dell’appalto;</w:t>
      </w:r>
    </w:p>
    <w:p w:rsidR="00756114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penalità;</w:t>
      </w:r>
    </w:p>
    <w:p w:rsidR="00756114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t>di considerare la propria offerta economica nel suo complesso congrua e remunerativa;</w:t>
      </w:r>
    </w:p>
    <w:p w:rsidR="00756114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lastRenderedPageBreak/>
        <w:t>di aver tenuto conto, nel formulare la propria offerta, di eventuali maggiorazioni per lievitazione dei prezzi che dovessero intervenire successivamente alla stipula del contratto, rinunciando fin da ora a qualsiasi azione o eccezione in merito;</w:t>
      </w:r>
    </w:p>
    <w:p w:rsidR="00681E15" w:rsidRPr="005C3B08" w:rsidRDefault="00756114" w:rsidP="005C3B0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C3B08">
        <w:rPr>
          <w:rFonts w:ascii="Arial" w:hAnsi="Arial" w:cs="Arial"/>
          <w:sz w:val="20"/>
          <w:szCs w:val="20"/>
        </w:rPr>
        <w:t xml:space="preserve">di aver tenuto conto delle eventuali discordanze nelle indicazioni qualitative e quantitative delle voci rilevabili dal </w:t>
      </w:r>
      <w:r w:rsidR="00681E15" w:rsidRPr="005C3B08">
        <w:rPr>
          <w:rFonts w:ascii="Arial" w:hAnsi="Arial" w:cs="Arial"/>
          <w:sz w:val="20"/>
          <w:szCs w:val="20"/>
        </w:rPr>
        <w:t>Piano Economico Finanziario</w:t>
      </w:r>
      <w:r w:rsidRPr="005C3B08">
        <w:rPr>
          <w:rFonts w:ascii="Arial" w:hAnsi="Arial" w:cs="Arial"/>
          <w:sz w:val="20"/>
          <w:szCs w:val="20"/>
        </w:rPr>
        <w:t xml:space="preserve"> nella formulazione dell’offerta, che, riferita all'esecuzione dei </w:t>
      </w:r>
      <w:r w:rsidR="00681E15" w:rsidRPr="005C3B08">
        <w:rPr>
          <w:rFonts w:ascii="Arial" w:hAnsi="Arial" w:cs="Arial"/>
          <w:sz w:val="20"/>
          <w:szCs w:val="20"/>
        </w:rPr>
        <w:t xml:space="preserve">servizi e dei </w:t>
      </w:r>
      <w:r w:rsidRPr="005C3B08">
        <w:rPr>
          <w:rFonts w:ascii="Arial" w:hAnsi="Arial" w:cs="Arial"/>
          <w:sz w:val="20"/>
          <w:szCs w:val="20"/>
        </w:rPr>
        <w:t xml:space="preserve">lavori secondo gli elaborati progettuali posti a base di gara, resta comunque fissa ed invariabile, </w:t>
      </w:r>
      <w:r w:rsidRPr="005C3B08">
        <w:rPr>
          <w:rFonts w:ascii="Tahoma" w:hAnsi="Tahoma" w:cs="Tahoma"/>
          <w:sz w:val="20"/>
          <w:szCs w:val="20"/>
        </w:rPr>
        <w:t>che il ribasso unico e incondizionato del</w:t>
      </w:r>
      <w:r w:rsidR="003F3EAC" w:rsidRPr="005C3B08">
        <w:rPr>
          <w:rFonts w:ascii="Tahoma" w:hAnsi="Tahoma" w:cs="Tahoma"/>
          <w:sz w:val="20"/>
          <w:szCs w:val="20"/>
        </w:rPr>
        <w:t>……………</w:t>
      </w:r>
      <w:r w:rsidRPr="005C3B08">
        <w:rPr>
          <w:rFonts w:ascii="Tahoma" w:hAnsi="Tahoma" w:cs="Tahoma"/>
          <w:sz w:val="20"/>
          <w:szCs w:val="20"/>
        </w:rPr>
        <w:t xml:space="preserve">% dicesi </w:t>
      </w:r>
      <w:proofErr w:type="spellStart"/>
      <w:r w:rsidR="00A9202C">
        <w:rPr>
          <w:rFonts w:ascii="Tahoma" w:hAnsi="Tahoma" w:cs="Tahoma"/>
          <w:sz w:val="20"/>
          <w:szCs w:val="20"/>
        </w:rPr>
        <w:t>…………………</w:t>
      </w:r>
      <w:proofErr w:type="spellEnd"/>
      <w:r w:rsidRPr="005C3B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C3B08">
        <w:rPr>
          <w:rFonts w:ascii="Tahoma" w:hAnsi="Tahoma" w:cs="Tahoma"/>
          <w:sz w:val="20"/>
          <w:szCs w:val="20"/>
        </w:rPr>
        <w:t>virgola……………</w:t>
      </w:r>
      <w:proofErr w:type="spellEnd"/>
      <w:r w:rsidRPr="005C3B08">
        <w:rPr>
          <w:rFonts w:ascii="Tahoma" w:hAnsi="Tahoma" w:cs="Tahoma"/>
          <w:sz w:val="20"/>
          <w:szCs w:val="20"/>
        </w:rPr>
        <w:t xml:space="preserve"> percento sull'importo del corrispettivo </w:t>
      </w:r>
      <w:r w:rsidR="00BA33E3">
        <w:rPr>
          <w:rFonts w:ascii="Tahoma" w:hAnsi="Tahoma" w:cs="Tahoma"/>
          <w:sz w:val="20"/>
          <w:szCs w:val="20"/>
        </w:rPr>
        <w:t>settennale</w:t>
      </w:r>
      <w:r w:rsidRPr="005C3B08">
        <w:rPr>
          <w:rFonts w:ascii="Tahoma" w:hAnsi="Tahoma" w:cs="Tahoma"/>
          <w:sz w:val="20"/>
          <w:szCs w:val="20"/>
        </w:rPr>
        <w:t xml:space="preserve"> </w:t>
      </w:r>
      <w:r w:rsidRPr="002424C2">
        <w:rPr>
          <w:rFonts w:ascii="Tahoma" w:hAnsi="Tahoma" w:cs="Tahoma"/>
          <w:sz w:val="20"/>
          <w:szCs w:val="20"/>
          <w:highlight w:val="lightGray"/>
        </w:rPr>
        <w:t xml:space="preserve">di </w:t>
      </w:r>
      <w:r w:rsidR="002424C2" w:rsidRPr="002424C2">
        <w:rPr>
          <w:rFonts w:ascii="Tahoma" w:hAnsi="Tahoma" w:cs="Tahoma"/>
          <w:b/>
          <w:bCs/>
          <w:caps/>
          <w:sz w:val="20"/>
          <w:szCs w:val="20"/>
          <w:highlight w:val="lightGray"/>
        </w:rPr>
        <w:t>€</w:t>
      </w:r>
      <w:r w:rsidR="002424C2" w:rsidRPr="002424C2">
        <w:rPr>
          <w:b/>
          <w:i/>
          <w:highlight w:val="lightGray"/>
        </w:rPr>
        <w:t>7.391.039,614</w:t>
      </w:r>
      <w:r w:rsidRPr="005C3B0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C3B08">
        <w:rPr>
          <w:rFonts w:ascii="Tahoma" w:hAnsi="Tahoma" w:cs="Tahoma"/>
          <w:sz w:val="20"/>
          <w:szCs w:val="20"/>
        </w:rPr>
        <w:t xml:space="preserve">posto a base d'asta, oltre </w:t>
      </w:r>
      <w:r w:rsidR="002424C2">
        <w:rPr>
          <w:rFonts w:ascii="Tahoma" w:hAnsi="Tahoma" w:cs="Tahoma"/>
          <w:sz w:val="20"/>
          <w:szCs w:val="20"/>
        </w:rPr>
        <w:t xml:space="preserve">      </w:t>
      </w:r>
      <w:r w:rsidR="002424C2" w:rsidRPr="007C145F">
        <w:rPr>
          <w:b/>
          <w:i/>
          <w:highlight w:val="lightGray"/>
        </w:rPr>
        <w:t>€ 78.848,00</w:t>
      </w:r>
      <w:r w:rsidR="002424C2" w:rsidRPr="0021170E">
        <w:rPr>
          <w:b/>
          <w:i/>
        </w:rPr>
        <w:t xml:space="preserve"> </w:t>
      </w:r>
      <w:r w:rsidRPr="005C3B0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81E15" w:rsidRPr="005C3B08">
        <w:rPr>
          <w:rFonts w:ascii="Tahoma" w:hAnsi="Tahoma" w:cs="Tahoma"/>
          <w:sz w:val="20"/>
          <w:szCs w:val="20"/>
        </w:rPr>
        <w:t>per gli oneri per la sicurezza</w:t>
      </w:r>
      <w:r w:rsidRPr="005C3B08">
        <w:rPr>
          <w:rFonts w:ascii="Tahoma" w:hAnsi="Tahoma" w:cs="Tahoma"/>
          <w:sz w:val="20"/>
          <w:szCs w:val="20"/>
        </w:rPr>
        <w:t>, non</w:t>
      </w:r>
      <w:r w:rsidR="00681E15" w:rsidRPr="005C3B08">
        <w:rPr>
          <w:rFonts w:ascii="Tahoma" w:hAnsi="Tahoma" w:cs="Tahoma"/>
          <w:sz w:val="20"/>
          <w:szCs w:val="20"/>
        </w:rPr>
        <w:t xml:space="preserve"> </w:t>
      </w:r>
      <w:r w:rsidRPr="005C3B08">
        <w:rPr>
          <w:rFonts w:ascii="Tahoma" w:hAnsi="Tahoma" w:cs="Tahoma"/>
          <w:sz w:val="20"/>
          <w:szCs w:val="20"/>
        </w:rPr>
        <w:t>soggetti a ribasso</w:t>
      </w:r>
      <w:r w:rsidR="00681E15" w:rsidRPr="005C3B08">
        <w:rPr>
          <w:rFonts w:ascii="Tahoma" w:hAnsi="Tahoma" w:cs="Tahoma"/>
          <w:sz w:val="20"/>
          <w:szCs w:val="20"/>
        </w:rPr>
        <w:t>.</w:t>
      </w:r>
    </w:p>
    <w:p w:rsidR="00681E15" w:rsidRDefault="00681E15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5C3B08" w:rsidRDefault="00756114" w:rsidP="005C3B0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fini della valutazione della congruità del prezzo offerto in relazione ai costi del personale e ai costi della</w:t>
      </w:r>
      <w:r w:rsidR="00696C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sicurezza interni, </w:t>
      </w:r>
      <w:r>
        <w:rPr>
          <w:rFonts w:ascii="Tahoma" w:hAnsi="Tahoma" w:cs="Tahoma"/>
          <w:b/>
          <w:bCs/>
          <w:sz w:val="20"/>
          <w:szCs w:val="20"/>
        </w:rPr>
        <w:t>DICHIARA</w:t>
      </w:r>
      <w:r w:rsidR="003F3EAC">
        <w:rPr>
          <w:rFonts w:ascii="Tahoma" w:hAnsi="Tahoma" w:cs="Tahoma"/>
          <w:b/>
          <w:bCs/>
          <w:sz w:val="20"/>
          <w:szCs w:val="20"/>
        </w:rPr>
        <w:t>:</w:t>
      </w:r>
    </w:p>
    <w:p w:rsidR="005C3B08" w:rsidRDefault="005C3B08" w:rsidP="005C3B08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A9202C" w:rsidRDefault="005C3B08" w:rsidP="00EA4BEA">
      <w:pPr>
        <w:pStyle w:val="Paragrafoelenco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0"/>
          <w:szCs w:val="20"/>
        </w:rPr>
      </w:pPr>
      <w:r w:rsidRPr="00A9202C">
        <w:rPr>
          <w:rFonts w:ascii="Tahoma" w:hAnsi="Tahoma" w:cs="Tahoma"/>
          <w:sz w:val="20"/>
          <w:szCs w:val="20"/>
        </w:rPr>
        <w:t>che il costo della manodopera (art. 95, comma 10 del Decreto Lgs. n. 50/2016), ricompresi nell’importo di cui all’offerta del precedente punto 6,) è di euro ………………………………………………………………………</w:t>
      </w:r>
    </w:p>
    <w:p w:rsidR="00A9202C" w:rsidRDefault="00A9202C" w:rsidP="00A9202C">
      <w:pPr>
        <w:pStyle w:val="Paragrafoelenco"/>
        <w:widowControl w:val="0"/>
        <w:tabs>
          <w:tab w:val="left" w:pos="540"/>
        </w:tabs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0"/>
          <w:szCs w:val="20"/>
        </w:rPr>
      </w:pPr>
    </w:p>
    <w:p w:rsidR="005C3B08" w:rsidRPr="00A9202C" w:rsidRDefault="005C3B08" w:rsidP="00EA4BEA">
      <w:pPr>
        <w:pStyle w:val="Paragrafoelenco"/>
        <w:widowControl w:val="0"/>
        <w:numPr>
          <w:ilvl w:val="0"/>
          <w:numId w:val="31"/>
        </w:numPr>
        <w:tabs>
          <w:tab w:val="left" w:pos="540"/>
        </w:tabs>
        <w:autoSpaceDE w:val="0"/>
        <w:autoSpaceDN w:val="0"/>
        <w:adjustRightInd w:val="0"/>
        <w:spacing w:line="320" w:lineRule="exact"/>
        <w:jc w:val="both"/>
        <w:rPr>
          <w:rFonts w:ascii="Tahoma" w:hAnsi="Tahoma" w:cs="Tahoma"/>
          <w:sz w:val="20"/>
          <w:szCs w:val="20"/>
        </w:rPr>
      </w:pPr>
      <w:r w:rsidRPr="00A9202C">
        <w:rPr>
          <w:rFonts w:ascii="Tahoma" w:hAnsi="Tahoma" w:cs="Tahoma"/>
          <w:sz w:val="20"/>
          <w:szCs w:val="20"/>
        </w:rPr>
        <w:t>che il costo degli oneri aziendali concernenti l’adempimento delle disposizioni in materia di salute e sicurezza sui luoghi di lavoro (art. 95, comma 10 del Decreto Lgs. n. 50/2016), ricompresi nell’importo di cui all’offerta del precedente punto 6,) è di euro ………………………………………………………………………</w:t>
      </w: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93D0A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93D0A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93D0A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2F30B9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seguito si riporta la disaggregazione del servizio con i relativi importi percentuali corrispondenti:</w:t>
      </w: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93D0A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893D0A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0"/>
        <w:gridCol w:w="6763"/>
        <w:gridCol w:w="2555"/>
      </w:tblGrid>
      <w:tr w:rsidR="00BA33E3" w:rsidRPr="006C09BC" w:rsidTr="00BA33E3">
        <w:trPr>
          <w:trHeight w:hRule="exact" w:val="262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 w:hAnsi="Arial"/>
              </w:rPr>
            </w:pPr>
            <w:r w:rsidRPr="006C09BC">
              <w:rPr>
                <w:rFonts w:ascii="Arial" w:hAnsi="Arial"/>
              </w:rPr>
              <w:t>N°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5" w:right="47"/>
              <w:rPr>
                <w:rFonts w:ascii="Arial"/>
                <w:sz w:val="16"/>
                <w:szCs w:val="16"/>
              </w:rPr>
            </w:pPr>
            <w:proofErr w:type="spellStart"/>
            <w:r w:rsidRPr="00BA33E3">
              <w:rPr>
                <w:rFonts w:ascii="Arial"/>
                <w:sz w:val="16"/>
                <w:szCs w:val="16"/>
              </w:rPr>
              <w:t>Descrizione</w:t>
            </w:r>
            <w:proofErr w:type="spellEnd"/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5" w:right="47"/>
              <w:rPr>
                <w:rFonts w:ascii="Arial"/>
                <w:sz w:val="16"/>
                <w:szCs w:val="16"/>
              </w:rPr>
            </w:pPr>
            <w:r w:rsidRPr="00BA33E3">
              <w:rPr>
                <w:rFonts w:ascii="Arial"/>
                <w:sz w:val="16"/>
                <w:szCs w:val="16"/>
              </w:rPr>
              <w:t xml:space="preserve">% </w:t>
            </w:r>
            <w:proofErr w:type="spellStart"/>
            <w:r w:rsidRPr="00BA33E3">
              <w:rPr>
                <w:rFonts w:ascii="Arial"/>
                <w:sz w:val="16"/>
                <w:szCs w:val="16"/>
              </w:rPr>
              <w:t>influente</w:t>
            </w:r>
            <w:proofErr w:type="spellEnd"/>
            <w:r w:rsidRPr="00BA33E3">
              <w:rPr>
                <w:rFonts w:ascii="Arial"/>
                <w:sz w:val="16"/>
                <w:szCs w:val="16"/>
              </w:rPr>
              <w:t xml:space="preserve"> </w:t>
            </w:r>
            <w:proofErr w:type="spellStart"/>
            <w:r w:rsidRPr="00BA33E3">
              <w:rPr>
                <w:rFonts w:ascii="Arial"/>
                <w:sz w:val="16"/>
                <w:szCs w:val="16"/>
              </w:rPr>
              <w:t>sull</w:t>
            </w:r>
            <w:r w:rsidRPr="00BA33E3">
              <w:rPr>
                <w:rFonts w:ascii="Arial"/>
                <w:sz w:val="16"/>
                <w:szCs w:val="16"/>
              </w:rPr>
              <w:t>’</w:t>
            </w:r>
            <w:r w:rsidRPr="00BA33E3">
              <w:rPr>
                <w:rFonts w:ascii="Arial"/>
                <w:sz w:val="16"/>
                <w:szCs w:val="16"/>
              </w:rPr>
              <w:t>importo</w:t>
            </w:r>
            <w:proofErr w:type="spellEnd"/>
            <w:r w:rsidRPr="00BA33E3">
              <w:rPr>
                <w:rFonts w:ascii="Arial"/>
                <w:sz w:val="16"/>
                <w:szCs w:val="16"/>
              </w:rPr>
              <w:t xml:space="preserve"> </w:t>
            </w:r>
            <w:proofErr w:type="spellStart"/>
            <w:r w:rsidRPr="00BA33E3">
              <w:rPr>
                <w:rFonts w:ascii="Arial"/>
                <w:sz w:val="16"/>
                <w:szCs w:val="16"/>
              </w:rPr>
              <w:t>offerto</w:t>
            </w:r>
            <w:proofErr w:type="spellEnd"/>
            <w:r w:rsidRPr="00BA33E3">
              <w:rPr>
                <w:rFonts w:ascii="Arial"/>
                <w:sz w:val="16"/>
                <w:szCs w:val="16"/>
              </w:rPr>
              <w:t xml:space="preserve"> </w:t>
            </w:r>
          </w:p>
        </w:tc>
      </w:tr>
      <w:tr w:rsidR="00BA33E3" w:rsidRPr="00072FD8" w:rsidTr="00BA33E3">
        <w:trPr>
          <w:trHeight w:hRule="exact" w:val="766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1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before="2" w:line="252" w:lineRule="exact"/>
              <w:ind w:left="64" w:right="64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servizio di raccolta domiciliare da utenze domestiche e non domestiche dei rifiuti urbani e assimilati indifferenziati (secco non riciclabile) compreso il trasporto e conferimento a impianto autorizzato di smaltimento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before="2" w:line="252" w:lineRule="exact"/>
              <w:ind w:left="64" w:right="64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684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2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 w:hanging="1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domiciliare da utenze domestiche e non domestiche della carta e del cartone compreso il trasporto e conferimento ad impianto autorizzato di recupero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 w:hanging="1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3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5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domiciliare della frazione organica da utenze domestiche e non domestiche (esclusa la frazione verde) compreso il trasporto e conferimento a impianto autorizzato di recupero/trattamento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5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lastRenderedPageBreak/>
              <w:t>4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raccolta differenziata domiciliare della frazione verde privata (potature, </w:t>
            </w:r>
            <w:proofErr w:type="spellStart"/>
            <w:r w:rsidRPr="00BA33E3">
              <w:rPr>
                <w:rFonts w:ascii="Arial"/>
                <w:sz w:val="16"/>
                <w:szCs w:val="16"/>
                <w:lang w:val="it-IT"/>
              </w:rPr>
              <w:t>sfalci</w:t>
            </w:r>
            <w:proofErr w:type="spellEnd"/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 e foglie). 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5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domiciliare da utenze domestiche e non domestiche di vetro e lattine/</w:t>
            </w:r>
            <w:proofErr w:type="spellStart"/>
            <w:r w:rsidRPr="00BA33E3">
              <w:rPr>
                <w:rFonts w:ascii="Arial"/>
                <w:sz w:val="16"/>
                <w:szCs w:val="16"/>
                <w:lang w:val="it-IT"/>
              </w:rPr>
              <w:t>barattolame</w:t>
            </w:r>
            <w:proofErr w:type="spellEnd"/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 e trasporto compreso il trasporto e conferimento ad  impianto autorizzato di recupero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6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3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domiciliare da utenze domestiche e non domestiche di vetro e lattine/</w:t>
            </w:r>
            <w:proofErr w:type="spellStart"/>
            <w:r w:rsidRPr="00BA33E3">
              <w:rPr>
                <w:rFonts w:ascii="Arial"/>
                <w:sz w:val="16"/>
                <w:szCs w:val="16"/>
                <w:lang w:val="it-IT"/>
              </w:rPr>
              <w:t>barattolame</w:t>
            </w:r>
            <w:proofErr w:type="spellEnd"/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 e trasporto compreso il trasporto e conferimento ad  impianto autorizzato di recupero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3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684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7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 w:hanging="1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domiciliare da utenze domestiche e non domestiche degli imballaggi in plastica compreso il trasporto e conferimento ad impianto autorizzato di recupero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 w:hanging="1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684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8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125" w:hanging="1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raccolta differenziata di farmaci scaduti e pile esaurite compreso il trasporto e  conferimento ad impianto autorizzato di</w:t>
            </w:r>
            <w:r w:rsidRPr="00BA33E3">
              <w:rPr>
                <w:rFonts w:ascii="Arial"/>
                <w:spacing w:val="-13"/>
                <w:sz w:val="16"/>
                <w:szCs w:val="16"/>
                <w:lang w:val="it-IT"/>
              </w:rPr>
              <w:t xml:space="preserve"> </w:t>
            </w:r>
            <w:r w:rsidRPr="00BA33E3">
              <w:rPr>
                <w:rFonts w:ascii="Arial"/>
                <w:sz w:val="16"/>
                <w:szCs w:val="16"/>
                <w:lang w:val="it-IT"/>
              </w:rPr>
              <w:t>recupero/trattamento/smaltimento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125" w:hanging="1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1238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  <w:w w:val="99"/>
              </w:rPr>
              <w:t>9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2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proofErr w:type="spellStart"/>
            <w:r w:rsidRPr="00BA33E3">
              <w:rPr>
                <w:rFonts w:ascii="Arial"/>
                <w:sz w:val="16"/>
                <w:szCs w:val="16"/>
                <w:lang w:val="it-IT"/>
              </w:rPr>
              <w:t>spazzamento</w:t>
            </w:r>
            <w:proofErr w:type="spellEnd"/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 e lavaggio delle aree pubbliche e delle aree private soggette ad uso pubblico (strade, marciapiedi, piazze, viali, ecc) e gestione dei cestini stradali, compreso il trasporto e conferimento ad impianto autorizzato di recupero/trattamento/smaltimento dei rifiuti derivanti dallo </w:t>
            </w:r>
            <w:proofErr w:type="spellStart"/>
            <w:r w:rsidRPr="00BA33E3">
              <w:rPr>
                <w:rFonts w:ascii="Arial"/>
                <w:sz w:val="16"/>
                <w:szCs w:val="16"/>
                <w:lang w:val="it-IT"/>
              </w:rPr>
              <w:t>spazzamento</w:t>
            </w:r>
            <w:proofErr w:type="spellEnd"/>
            <w:r w:rsidRPr="00BA33E3">
              <w:rPr>
                <w:rFonts w:ascii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2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407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10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gestione dei Centri di Raccolta fisso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407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>
              <w:rPr>
                <w:rFonts w:ascii="Arial"/>
              </w:rPr>
              <w:t>11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Gestione del centro di raccolta mobile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407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2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gestione del Centro servizi e del numero verde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407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3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campagne di comunicazione e sensibilizzazione delle utenze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4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2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servizio di pronto intervento rimozione dei rifiuti abbandonati su suolo pubblico e su suolo privato comunque soggetto ad uso pubblico e pulizia dei siti, compreso il trasporto e conferimento ad impianto autorizzato di recupero/trattamento/smaltimento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2" w:hanging="1"/>
              <w:jc w:val="both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407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5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lavaggio, disinfezione e manutenzione cassonetti raccolta rifiuti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51" w:lineRule="exact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684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6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  <w:r w:rsidRPr="00BA33E3">
              <w:rPr>
                <w:rFonts w:ascii="Arial"/>
                <w:sz w:val="16"/>
                <w:szCs w:val="16"/>
                <w:lang w:val="it-IT"/>
              </w:rPr>
              <w:t>pulizia delle caditoie e dei pozzetti stradali, compreso il trasporto e conferimento ad impianto autorizzato di recupero/trattamento/smaltimento dei rifiuti derivanti dalle pulizie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47"/>
              <w:rPr>
                <w:rFonts w:ascii="Arial"/>
                <w:sz w:val="16"/>
                <w:szCs w:val="16"/>
                <w:lang w:val="it-IT"/>
              </w:rPr>
            </w:pPr>
          </w:p>
        </w:tc>
      </w:tr>
      <w:tr w:rsidR="00BA33E3" w:rsidRPr="00072FD8" w:rsidTr="00BA33E3">
        <w:trPr>
          <w:trHeight w:hRule="exact" w:val="961"/>
        </w:trPr>
        <w:tc>
          <w:tcPr>
            <w:tcW w:w="171" w:type="pct"/>
          </w:tcPr>
          <w:p w:rsidR="00BA33E3" w:rsidRPr="006C09BC" w:rsidRDefault="00BA33E3" w:rsidP="006C3096">
            <w:pPr>
              <w:pStyle w:val="TableParagraph"/>
              <w:spacing w:line="251" w:lineRule="exact"/>
              <w:ind w:left="64"/>
              <w:rPr>
                <w:rFonts w:ascii="Arial"/>
              </w:rPr>
            </w:pPr>
            <w:r w:rsidRPr="006C09BC">
              <w:rPr>
                <w:rFonts w:ascii="Arial"/>
              </w:rPr>
              <w:t>1</w:t>
            </w:r>
            <w:r>
              <w:rPr>
                <w:rFonts w:ascii="Arial"/>
              </w:rPr>
              <w:t>7</w:t>
            </w:r>
          </w:p>
        </w:tc>
        <w:tc>
          <w:tcPr>
            <w:tcW w:w="3505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 w:hanging="1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  <w:r w:rsidRPr="00BA33E3">
              <w:rPr>
                <w:rFonts w:ascii="Arial" w:hAnsi="Arial"/>
                <w:sz w:val="16"/>
                <w:szCs w:val="16"/>
                <w:lang w:val="it-IT"/>
              </w:rPr>
              <w:t>raccolta differenziata nel corso di manifestazioni e sagre e relativa pulizia dell’area, compreso il trasporto e conferimento ad impianto autorizzato di recupero/trattamento/smaltimento dei rifiuti</w:t>
            </w:r>
          </w:p>
        </w:tc>
        <w:tc>
          <w:tcPr>
            <w:tcW w:w="1324" w:type="pct"/>
          </w:tcPr>
          <w:p w:rsidR="00BA33E3" w:rsidRPr="00BA33E3" w:rsidRDefault="00BA33E3" w:rsidP="006C3096">
            <w:pPr>
              <w:pStyle w:val="TableParagraph"/>
              <w:spacing w:line="264" w:lineRule="auto"/>
              <w:ind w:left="64" w:right="64" w:hanging="1"/>
              <w:jc w:val="both"/>
              <w:rPr>
                <w:rFonts w:ascii="Arial" w:hAnsi="Arial"/>
                <w:sz w:val="16"/>
                <w:szCs w:val="16"/>
                <w:lang w:val="it-IT"/>
              </w:rPr>
            </w:pPr>
          </w:p>
        </w:tc>
      </w:tr>
    </w:tbl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Si dichiara che lo stesso importo di ribasso dichiarato sarà applicato sul servizio esplicato sul piano di raccolta e gestione dei rifiuti prodotti dalle navi e dai residui del carico</w:t>
      </w:r>
      <w:r w:rsidR="00893D0A">
        <w:rPr>
          <w:rFonts w:ascii="Tahoma" w:hAnsi="Tahoma" w:cs="Tahoma"/>
          <w:sz w:val="20"/>
          <w:szCs w:val="20"/>
        </w:rPr>
        <w:t xml:space="preserve">, a tal riguardo si farà riferimento in particolare al punto 16 – ASPETTI TARIFFARI dell’allegato </w:t>
      </w:r>
      <w:r w:rsidR="00893D0A" w:rsidRPr="00893D0A">
        <w:rPr>
          <w:rFonts w:ascii="Tahoma" w:hAnsi="Tahoma" w:cs="Tahoma"/>
          <w:sz w:val="20"/>
          <w:szCs w:val="20"/>
        </w:rPr>
        <w:t>N. 7 – Piano di raccolta e gestione dei rifiuti prodotti dalle navi e dei residui del carico – separato rispetto al capitolato.</w:t>
      </w: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A33E3" w:rsidRDefault="00BA33E3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Lì, </w:t>
      </w:r>
      <w:r>
        <w:rPr>
          <w:rFonts w:ascii="Tahoma" w:hAnsi="Tahoma" w:cs="Tahoma"/>
          <w:sz w:val="21"/>
          <w:szCs w:val="21"/>
        </w:rPr>
        <w:t xml:space="preserve">(luogo e data) </w:t>
      </w:r>
      <w:r>
        <w:rPr>
          <w:rFonts w:ascii="Tahoma" w:hAnsi="Tahoma" w:cs="Tahoma"/>
          <w:sz w:val="20"/>
          <w:szCs w:val="20"/>
        </w:rPr>
        <w:t>…………………………………………….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893D0A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</w:t>
      </w:r>
      <w:r w:rsidR="00756114">
        <w:rPr>
          <w:rFonts w:ascii="Tahoma" w:hAnsi="Tahoma" w:cs="Tahoma"/>
          <w:sz w:val="20"/>
          <w:szCs w:val="20"/>
        </w:rPr>
        <w:t>In fede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SOTTOSCRIZIONE DELL’IMPRESA/E (*)</w:t>
      </w: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 cognome del titolare/i o del legale/i rappresentante/i):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56114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</w:t>
      </w:r>
    </w:p>
    <w:p w:rsidR="00696CA1" w:rsidRDefault="00696CA1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3580B" w:rsidRDefault="0063580B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b/>
          <w:bCs/>
          <w:sz w:val="16"/>
          <w:szCs w:val="16"/>
        </w:rPr>
        <w:t>N.B.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b/>
          <w:bCs/>
          <w:sz w:val="16"/>
          <w:szCs w:val="16"/>
        </w:rPr>
        <w:t>Istruzioni per la compilazione: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 xml:space="preserve">(*) L’offerta deve essere sottoscritta </w:t>
      </w:r>
      <w:r w:rsidRPr="00A9202C">
        <w:rPr>
          <w:rFonts w:ascii="Tahoma" w:hAnsi="Tahoma" w:cs="Tahoma"/>
          <w:b/>
          <w:bCs/>
          <w:sz w:val="16"/>
          <w:szCs w:val="16"/>
        </w:rPr>
        <w:t xml:space="preserve">su ogni pagina </w:t>
      </w:r>
      <w:r w:rsidRPr="00A9202C">
        <w:rPr>
          <w:rFonts w:ascii="Tahoma" w:hAnsi="Tahoma" w:cs="Tahoma"/>
          <w:sz w:val="16"/>
          <w:szCs w:val="16"/>
        </w:rPr>
        <w:t>con firma leggibile e per esteso: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impresa individuale: dall’Imprenditore;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Società, Cooperative o Consorzi: dal legale rappresentante;</w:t>
      </w:r>
    </w:p>
    <w:p w:rsidR="00756114" w:rsidRPr="00A9202C" w:rsidRDefault="00756114" w:rsidP="0075611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nel caso di raggruppamento temporaneo d’imprese o consorzio di concorrenti ancora da costituirsi: dalle</w:t>
      </w:r>
      <w:r w:rsidR="00696CA1" w:rsidRPr="00A9202C">
        <w:rPr>
          <w:rFonts w:ascii="Tahoma" w:hAnsi="Tahoma" w:cs="Tahoma"/>
          <w:sz w:val="16"/>
          <w:szCs w:val="16"/>
        </w:rPr>
        <w:t xml:space="preserve"> </w:t>
      </w:r>
      <w:r w:rsidRPr="00A9202C">
        <w:rPr>
          <w:rFonts w:ascii="Tahoma" w:hAnsi="Tahoma" w:cs="Tahoma"/>
          <w:sz w:val="16"/>
          <w:szCs w:val="16"/>
        </w:rPr>
        <w:t>persone che si trovano nella medesima posizione giuridica con riferimento a ciascuna impresa.</w:t>
      </w:r>
    </w:p>
    <w:p w:rsidR="00696CA1" w:rsidRPr="00A9202C" w:rsidRDefault="00756114" w:rsidP="00696CA1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>- Qualora nell’Impresa sia presente la figura dell’Institore (artt. 2203 e seguenti del C.C.), del Procuratore (art. 2209</w:t>
      </w:r>
      <w:r w:rsidR="00696CA1" w:rsidRPr="00A9202C">
        <w:rPr>
          <w:rFonts w:ascii="Tahoma" w:hAnsi="Tahoma" w:cs="Tahoma"/>
          <w:sz w:val="16"/>
          <w:szCs w:val="16"/>
        </w:rPr>
        <w:t xml:space="preserve"> </w:t>
      </w:r>
      <w:r w:rsidRPr="00A9202C">
        <w:rPr>
          <w:rFonts w:ascii="Tahoma" w:hAnsi="Tahoma" w:cs="Tahoma"/>
          <w:sz w:val="16"/>
          <w:szCs w:val="16"/>
        </w:rPr>
        <w:t>del C.C.) o del Procuratore speciale: l’offerta può essere sottoscritta con firma leggibile e per esteso dagli stessi.</w:t>
      </w:r>
    </w:p>
    <w:p w:rsidR="00696CA1" w:rsidRPr="00A9202C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  <w:r w:rsidRPr="00A9202C">
        <w:rPr>
          <w:rFonts w:ascii="Tahoma" w:hAnsi="Tahoma" w:cs="Tahoma"/>
          <w:sz w:val="16"/>
          <w:szCs w:val="16"/>
        </w:rPr>
        <w:t xml:space="preserve">- </w:t>
      </w:r>
      <w:r w:rsidR="00756114" w:rsidRPr="00A9202C">
        <w:rPr>
          <w:rFonts w:ascii="Tahoma" w:hAnsi="Tahoma" w:cs="Tahoma"/>
          <w:b/>
          <w:bCs/>
          <w:sz w:val="16"/>
          <w:szCs w:val="16"/>
        </w:rPr>
        <w:t>allegare, a pena di esclusione, copia fotostatica di un documento di identità</w:t>
      </w:r>
      <w:r w:rsidRPr="00A9202C">
        <w:rPr>
          <w:rFonts w:ascii="Tahoma" w:hAnsi="Tahoma" w:cs="Tahoma"/>
          <w:b/>
          <w:bCs/>
          <w:sz w:val="16"/>
          <w:szCs w:val="16"/>
        </w:rPr>
        <w:t>.</w:t>
      </w:r>
    </w:p>
    <w:p w:rsidR="00696CA1" w:rsidRPr="00A9202C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6"/>
          <w:szCs w:val="16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p w:rsidR="00696CA1" w:rsidRDefault="00696CA1" w:rsidP="00696CA1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696CA1" w:rsidSect="0080021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21" w:rsidRDefault="00FA7521">
      <w:r>
        <w:separator/>
      </w:r>
    </w:p>
  </w:endnote>
  <w:endnote w:type="continuationSeparator" w:id="0">
    <w:p w:rsidR="00FA7521" w:rsidRDefault="00FA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AD" w:rsidRPr="00345F51" w:rsidRDefault="00AC00AD" w:rsidP="00AC00AD">
    <w:pPr>
      <w:pStyle w:val="Pidipagina"/>
      <w:spacing w:before="120"/>
      <w:jc w:val="center"/>
      <w:rPr>
        <w:rFonts w:ascii="Arial" w:hAnsi="Arial" w:cs="Arial"/>
        <w:sz w:val="18"/>
        <w:szCs w:val="18"/>
      </w:rPr>
    </w:pPr>
    <w:r w:rsidRPr="00AC00AD">
      <w:rPr>
        <w:rFonts w:ascii="Arial" w:hAnsi="Arial" w:cs="Arial"/>
        <w:sz w:val="18"/>
        <w:szCs w:val="18"/>
        <w:lang w:val="en-US"/>
      </w:rPr>
      <w:t xml:space="preserve">Pag. </w:t>
    </w:r>
    <w:r w:rsidR="009238A9" w:rsidRPr="00AC00AD">
      <w:rPr>
        <w:rFonts w:ascii="Arial" w:hAnsi="Arial" w:cs="Arial"/>
        <w:sz w:val="18"/>
        <w:szCs w:val="18"/>
        <w:lang w:val="en-US"/>
      </w:rPr>
      <w:fldChar w:fldCharType="begin"/>
    </w:r>
    <w:r w:rsidRPr="00AC00AD">
      <w:rPr>
        <w:rFonts w:ascii="Arial" w:hAnsi="Arial" w:cs="Arial"/>
        <w:sz w:val="18"/>
        <w:szCs w:val="18"/>
        <w:lang w:val="en-US"/>
      </w:rPr>
      <w:instrText>\PAGE</w:instrText>
    </w:r>
    <w:r w:rsidR="009238A9" w:rsidRPr="00AC00AD">
      <w:rPr>
        <w:rFonts w:ascii="Arial" w:hAnsi="Arial" w:cs="Arial"/>
        <w:sz w:val="18"/>
        <w:szCs w:val="18"/>
        <w:lang w:val="en-US"/>
      </w:rPr>
      <w:fldChar w:fldCharType="separate"/>
    </w:r>
    <w:r w:rsidR="000C17B3">
      <w:rPr>
        <w:rFonts w:ascii="Arial" w:hAnsi="Arial" w:cs="Arial"/>
        <w:noProof/>
        <w:sz w:val="18"/>
        <w:szCs w:val="18"/>
        <w:lang w:val="en-US"/>
      </w:rPr>
      <w:t>4</w:t>
    </w:r>
    <w:r w:rsidR="009238A9" w:rsidRPr="00AC00AD">
      <w:rPr>
        <w:rFonts w:ascii="Arial" w:hAnsi="Arial" w:cs="Arial"/>
        <w:sz w:val="18"/>
        <w:szCs w:val="18"/>
        <w:lang w:val="en-US"/>
      </w:rPr>
      <w:fldChar w:fldCharType="end"/>
    </w:r>
    <w:r w:rsidRPr="00345F51">
      <w:rPr>
        <w:rFonts w:ascii="Arial" w:hAnsi="Arial" w:cs="Arial"/>
        <w:sz w:val="18"/>
        <w:szCs w:val="18"/>
      </w:rPr>
      <w:t>/</w:t>
    </w:r>
    <w:r w:rsidR="009238A9" w:rsidRPr="00345F51">
      <w:rPr>
        <w:rFonts w:ascii="Arial" w:hAnsi="Arial" w:cs="Arial"/>
        <w:sz w:val="18"/>
        <w:szCs w:val="18"/>
      </w:rPr>
      <w:fldChar w:fldCharType="begin"/>
    </w:r>
    <w:r w:rsidRPr="00345F51">
      <w:rPr>
        <w:rFonts w:ascii="Arial" w:hAnsi="Arial" w:cs="Arial"/>
        <w:sz w:val="18"/>
        <w:szCs w:val="18"/>
      </w:rPr>
      <w:instrText>\NUMPAGES</w:instrText>
    </w:r>
    <w:r w:rsidR="009238A9" w:rsidRPr="00345F51">
      <w:rPr>
        <w:rFonts w:ascii="Arial" w:hAnsi="Arial" w:cs="Arial"/>
        <w:sz w:val="18"/>
        <w:szCs w:val="18"/>
      </w:rPr>
      <w:fldChar w:fldCharType="separate"/>
    </w:r>
    <w:r w:rsidR="000C17B3">
      <w:rPr>
        <w:rFonts w:ascii="Arial" w:hAnsi="Arial" w:cs="Arial"/>
        <w:noProof/>
        <w:sz w:val="18"/>
        <w:szCs w:val="18"/>
      </w:rPr>
      <w:t>4</w:t>
    </w:r>
    <w:r w:rsidR="009238A9" w:rsidRPr="00345F5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21" w:rsidRDefault="00FA7521">
      <w:r>
        <w:separator/>
      </w:r>
    </w:p>
  </w:footnote>
  <w:footnote w:type="continuationSeparator" w:id="0">
    <w:p w:rsidR="00FA7521" w:rsidRDefault="00FA7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042" w:rsidRDefault="009D2042" w:rsidP="009D2042">
    <w:pPr>
      <w:pBdr>
        <w:top w:val="single" w:sz="4" w:space="1" w:color="0000FF"/>
      </w:pBdr>
      <w:jc w:val="center"/>
      <w:rPr>
        <w:sz w:val="56"/>
      </w:rPr>
    </w:pPr>
    <w:bookmarkStart w:id="1" w:name="_Hlk492020575"/>
    <w:r>
      <w:rPr>
        <w:noProof/>
        <w:sz w:val="52"/>
      </w:rPr>
      <w:drawing>
        <wp:inline distT="0" distB="0" distL="0" distR="0">
          <wp:extent cx="657843" cy="903622"/>
          <wp:effectExtent l="19050" t="0" r="8907" b="0"/>
          <wp:docPr id="5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87" cy="904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2042" w:rsidRPr="00344F40" w:rsidRDefault="009D2042" w:rsidP="009D2042">
    <w:pPr>
      <w:pStyle w:val="Titolo1"/>
      <w:pBdr>
        <w:top w:val="double" w:sz="4" w:space="1" w:color="auto"/>
      </w:pBdr>
      <w:jc w:val="center"/>
      <w:rPr>
        <w:color w:val="auto"/>
        <w:spacing w:val="162"/>
        <w:sz w:val="36"/>
        <w:szCs w:val="36"/>
      </w:rPr>
    </w:pPr>
    <w:r w:rsidRPr="00344F40">
      <w:rPr>
        <w:color w:val="auto"/>
        <w:spacing w:val="162"/>
        <w:sz w:val="36"/>
        <w:szCs w:val="36"/>
      </w:rPr>
      <w:t>C</w:t>
    </w:r>
    <w:r w:rsidRPr="00344F40">
      <w:rPr>
        <w:i/>
        <w:color w:val="auto"/>
        <w:spacing w:val="162"/>
        <w:sz w:val="36"/>
        <w:szCs w:val="36"/>
      </w:rPr>
      <w:t>omune</w:t>
    </w:r>
    <w:r w:rsidRPr="00344F40">
      <w:rPr>
        <w:color w:val="auto"/>
        <w:spacing w:val="162"/>
        <w:sz w:val="36"/>
        <w:szCs w:val="36"/>
      </w:rPr>
      <w:t xml:space="preserve"> </w:t>
    </w:r>
    <w:r w:rsidRPr="00344F40">
      <w:rPr>
        <w:i/>
        <w:color w:val="auto"/>
        <w:spacing w:val="162"/>
        <w:sz w:val="36"/>
        <w:szCs w:val="36"/>
      </w:rPr>
      <w:t>di</w:t>
    </w:r>
    <w:r w:rsidRPr="00344F40">
      <w:rPr>
        <w:color w:val="auto"/>
        <w:spacing w:val="162"/>
        <w:sz w:val="36"/>
        <w:szCs w:val="36"/>
      </w:rPr>
      <w:t xml:space="preserve"> </w:t>
    </w:r>
    <w:proofErr w:type="spellStart"/>
    <w:r w:rsidRPr="00344F40">
      <w:rPr>
        <w:color w:val="auto"/>
        <w:spacing w:val="162"/>
        <w:sz w:val="36"/>
        <w:szCs w:val="36"/>
      </w:rPr>
      <w:t>S</w:t>
    </w:r>
    <w:r w:rsidRPr="00344F40">
      <w:rPr>
        <w:i/>
        <w:color w:val="auto"/>
        <w:spacing w:val="162"/>
        <w:sz w:val="36"/>
        <w:szCs w:val="36"/>
      </w:rPr>
      <w:t>arroch</w:t>
    </w:r>
    <w:proofErr w:type="spellEnd"/>
  </w:p>
  <w:p w:rsidR="009D2042" w:rsidRPr="00344F40" w:rsidRDefault="009D2042" w:rsidP="009D2042">
    <w:pPr>
      <w:pStyle w:val="Titolo2"/>
      <w:spacing w:after="60"/>
      <w:jc w:val="center"/>
      <w:rPr>
        <w:color w:val="auto"/>
        <w:sz w:val="24"/>
        <w:szCs w:val="24"/>
      </w:rPr>
    </w:pPr>
    <w:r w:rsidRPr="00344F40">
      <w:rPr>
        <w:color w:val="auto"/>
        <w:sz w:val="24"/>
        <w:szCs w:val="24"/>
      </w:rPr>
      <w:t>Città Metropolitana di Cagliari</w:t>
    </w:r>
  </w:p>
  <w:p w:rsidR="009D2042" w:rsidRPr="00146428" w:rsidRDefault="009D2042" w:rsidP="009D2042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9D2042" w:rsidRPr="00146428" w:rsidRDefault="009D2042" w:rsidP="009D2042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9D2042" w:rsidRPr="00344F40" w:rsidRDefault="009D2042" w:rsidP="009D2042">
    <w:pPr>
      <w:ind w:right="-23"/>
      <w:jc w:val="center"/>
      <w:rPr>
        <w:rFonts w:ascii="Calibri" w:eastAsia="Calibri" w:hAnsi="Calibri" w:cs="Calibri"/>
        <w:sz w:val="20"/>
        <w:szCs w:val="20"/>
        <w:lang w:val="en-US"/>
      </w:rPr>
    </w:pP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Tel</w:t>
    </w:r>
    <w:r w:rsidRPr="00344F40">
      <w:rPr>
        <w:rFonts w:ascii="Calibri" w:eastAsia="Calibri" w:hAnsi="Calibri" w:cs="Calibri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.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909261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6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4"/>
        <w:sz w:val="20"/>
        <w:szCs w:val="20"/>
        <w:lang w:val="en-US"/>
      </w:rPr>
      <w:t>F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a</w:t>
    </w:r>
    <w:r w:rsidRPr="00344F40">
      <w:rPr>
        <w:rFonts w:ascii="Calibri" w:eastAsia="Calibri" w:hAnsi="Calibri" w:cs="Calibri"/>
        <w:sz w:val="20"/>
        <w:szCs w:val="20"/>
        <w:lang w:val="en-US"/>
      </w:rPr>
      <w:t>x</w:t>
    </w:r>
    <w:r w:rsidRPr="00344F40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7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0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.901139</w:t>
    </w:r>
    <w:r w:rsidRPr="00344F40">
      <w:rPr>
        <w:rFonts w:ascii="Calibri" w:eastAsia="Calibri" w:hAnsi="Calibri" w:cs="Calibri"/>
        <w:spacing w:val="-1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z w:val="20"/>
        <w:szCs w:val="20"/>
        <w:lang w:val="en-US"/>
      </w:rPr>
      <w:t>‐</w:t>
    </w:r>
    <w:r w:rsidRPr="00344F40">
      <w:rPr>
        <w:rFonts w:ascii="Calibri" w:eastAsia="Calibri" w:hAnsi="Calibri" w:cs="Calibri"/>
        <w:spacing w:val="-7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C.F./</w:t>
    </w:r>
    <w:r w:rsidRPr="00344F40">
      <w:rPr>
        <w:rFonts w:ascii="Calibri" w:eastAsia="Calibri" w:hAnsi="Calibri" w:cs="Calibri"/>
        <w:spacing w:val="-2"/>
        <w:sz w:val="20"/>
        <w:szCs w:val="20"/>
        <w:lang w:val="en-US"/>
      </w:rPr>
      <w:t>P</w:t>
    </w:r>
    <w:r w:rsidRPr="00344F40">
      <w:rPr>
        <w:rFonts w:ascii="Calibri" w:eastAsia="Calibri" w:hAnsi="Calibri" w:cs="Calibri"/>
        <w:spacing w:val="-3"/>
        <w:sz w:val="20"/>
        <w:szCs w:val="20"/>
        <w:lang w:val="en-US"/>
      </w:rPr>
      <w:t>. IVA</w:t>
    </w:r>
    <w:r w:rsidRPr="00344F40">
      <w:rPr>
        <w:rFonts w:ascii="Calibri" w:eastAsia="Calibri" w:hAnsi="Calibri" w:cs="Calibri"/>
        <w:spacing w:val="-13"/>
        <w:sz w:val="20"/>
        <w:szCs w:val="20"/>
        <w:lang w:val="en-US"/>
      </w:rPr>
      <w:t xml:space="preserve"> </w:t>
    </w:r>
    <w:r w:rsidRPr="00344F40">
      <w:rPr>
        <w:rFonts w:ascii="Calibri" w:eastAsia="Calibri" w:hAnsi="Calibri" w:cs="Calibri"/>
        <w:spacing w:val="-3"/>
        <w:w w:val="99"/>
        <w:sz w:val="20"/>
        <w:szCs w:val="20"/>
        <w:lang w:val="en-US"/>
      </w:rPr>
      <w:t>80003610926</w:t>
    </w:r>
  </w:p>
  <w:p w:rsidR="009D2042" w:rsidRPr="00146428" w:rsidRDefault="009D2042" w:rsidP="009D2042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63580B" w:rsidRPr="0063580B" w:rsidRDefault="0063580B" w:rsidP="001E6A28">
    <w:pPr>
      <w:pBdr>
        <w:top w:val="single" w:sz="4" w:space="1" w:color="0000FF"/>
      </w:pBdr>
      <w:jc w:val="center"/>
      <w:rPr>
        <w:rFonts w:ascii="Arial" w:hAnsi="Arial"/>
        <w:sz w:val="16"/>
        <w:szCs w:val="16"/>
      </w:rPr>
    </w:pPr>
  </w:p>
  <w:bookmarkEnd w:id="1"/>
  <w:p w:rsidR="00125D6C" w:rsidRPr="0063580B" w:rsidRDefault="00125D6C" w:rsidP="00884F11">
    <w:pPr>
      <w:pStyle w:val="Intestazion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72"/>
    <w:multiLevelType w:val="hybridMultilevel"/>
    <w:tmpl w:val="A7168A3A"/>
    <w:lvl w:ilvl="0" w:tplc="1AC6A364">
      <w:start w:val="1"/>
      <w:numFmt w:val="lowerLetter"/>
      <w:lvlText w:val="%1)"/>
      <w:lvlJc w:val="left"/>
      <w:pPr>
        <w:ind w:left="123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22E5A"/>
    <w:multiLevelType w:val="hybridMultilevel"/>
    <w:tmpl w:val="F5B26470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F12D32"/>
    <w:multiLevelType w:val="multilevel"/>
    <w:tmpl w:val="CD1E6E0C"/>
    <w:lvl w:ilvl="0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17559F"/>
    <w:multiLevelType w:val="hybridMultilevel"/>
    <w:tmpl w:val="DC02D754"/>
    <w:lvl w:ilvl="0" w:tplc="E578C0B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740A4654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5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7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6656EC"/>
    <w:multiLevelType w:val="hybridMultilevel"/>
    <w:tmpl w:val="B322BA72"/>
    <w:lvl w:ilvl="0" w:tplc="BC50030E">
      <w:start w:val="1"/>
      <w:numFmt w:val="bullet"/>
      <w:pStyle w:val="Destinatari"/>
      <w:lvlText w:val=""/>
      <w:lvlJc w:val="left"/>
      <w:pPr>
        <w:tabs>
          <w:tab w:val="num" w:pos="330"/>
        </w:tabs>
        <w:ind w:left="3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9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97A9F"/>
    <w:multiLevelType w:val="hybridMultilevel"/>
    <w:tmpl w:val="D71016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0A3E"/>
    <w:multiLevelType w:val="hybridMultilevel"/>
    <w:tmpl w:val="A2E2562A"/>
    <w:lvl w:ilvl="0" w:tplc="1870F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FF312D"/>
    <w:multiLevelType w:val="hybridMultilevel"/>
    <w:tmpl w:val="B9BAA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42158"/>
    <w:multiLevelType w:val="hybridMultilevel"/>
    <w:tmpl w:val="E630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1015FE"/>
    <w:multiLevelType w:val="hybridMultilevel"/>
    <w:tmpl w:val="F34E89AA"/>
    <w:lvl w:ilvl="0" w:tplc="1996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8A5B84"/>
    <w:multiLevelType w:val="hybridMultilevel"/>
    <w:tmpl w:val="38C2E6E8"/>
    <w:lvl w:ilvl="0" w:tplc="E7B6C202">
      <w:start w:val="1"/>
      <w:numFmt w:val="decimal"/>
      <w:lvlText w:val="C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6F1729B"/>
    <w:multiLevelType w:val="hybridMultilevel"/>
    <w:tmpl w:val="BF022444"/>
    <w:lvl w:ilvl="0" w:tplc="0616EC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44CFA"/>
    <w:multiLevelType w:val="multilevel"/>
    <w:tmpl w:val="4732DE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upperRoman"/>
      <w:lvlText w:val="%2."/>
      <w:lvlJc w:val="left"/>
      <w:pPr>
        <w:ind w:left="540" w:hanging="360"/>
      </w:pPr>
      <w:rPr>
        <w:rFonts w:ascii="Arial" w:hAnsi="Arial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cs="Times New Roman" w:hint="default"/>
      </w:rPr>
    </w:lvl>
  </w:abstractNum>
  <w:abstractNum w:abstractNumId="20">
    <w:nsid w:val="401D62DA"/>
    <w:multiLevelType w:val="hybridMultilevel"/>
    <w:tmpl w:val="CD1E6E0C"/>
    <w:lvl w:ilvl="0" w:tplc="1AC6A364">
      <w:start w:val="1"/>
      <w:numFmt w:val="lowerLetter"/>
      <w:lvlText w:val="%1)"/>
      <w:lvlJc w:val="left"/>
      <w:pPr>
        <w:ind w:left="1410" w:hanging="6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BF83F74"/>
    <w:multiLevelType w:val="hybridMultilevel"/>
    <w:tmpl w:val="C19C292A"/>
    <w:lvl w:ilvl="0" w:tplc="B48ABF06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193BEF"/>
    <w:multiLevelType w:val="hybridMultilevel"/>
    <w:tmpl w:val="E88AB038"/>
    <w:lvl w:ilvl="0" w:tplc="DC424DAA">
      <w:start w:val="1"/>
      <w:numFmt w:val="decimal"/>
      <w:lvlText w:val="%1."/>
      <w:lvlJc w:val="left"/>
      <w:pPr>
        <w:tabs>
          <w:tab w:val="num" w:pos="227"/>
        </w:tabs>
        <w:ind w:left="340" w:hanging="227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B0155F"/>
    <w:multiLevelType w:val="multilevel"/>
    <w:tmpl w:val="A7168A3A"/>
    <w:lvl w:ilvl="0">
      <w:start w:val="1"/>
      <w:numFmt w:val="lowerLetter"/>
      <w:lvlText w:val="%1)"/>
      <w:lvlJc w:val="left"/>
      <w:pPr>
        <w:ind w:left="1050" w:hanging="6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0BB346C"/>
    <w:multiLevelType w:val="hybridMultilevel"/>
    <w:tmpl w:val="89CCDE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3718E"/>
    <w:multiLevelType w:val="hybridMultilevel"/>
    <w:tmpl w:val="6E542C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6364C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6455AE">
      <w:start w:val="2"/>
      <w:numFmt w:val="upperLetter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293978"/>
    <w:multiLevelType w:val="hybridMultilevel"/>
    <w:tmpl w:val="FAEA8912"/>
    <w:lvl w:ilvl="0" w:tplc="7E7CE13A">
      <w:start w:val="1"/>
      <w:numFmt w:val="upperLetter"/>
      <w:lvlText w:val="%1."/>
      <w:lvlJc w:val="left"/>
      <w:pPr>
        <w:ind w:left="35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29">
    <w:nsid w:val="68D1643D"/>
    <w:multiLevelType w:val="hybridMultilevel"/>
    <w:tmpl w:val="C388B55C"/>
    <w:lvl w:ilvl="0" w:tplc="FD32F9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EA30C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050F3F"/>
    <w:multiLevelType w:val="hybridMultilevel"/>
    <w:tmpl w:val="14FA3964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1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EE0FEA"/>
    <w:multiLevelType w:val="hybridMultilevel"/>
    <w:tmpl w:val="32488512"/>
    <w:lvl w:ilvl="0" w:tplc="F034C2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32"/>
  </w:num>
  <w:num w:numId="5">
    <w:abstractNumId w:val="1"/>
  </w:num>
  <w:num w:numId="6">
    <w:abstractNumId w:val="13"/>
  </w:num>
  <w:num w:numId="7">
    <w:abstractNumId w:val="22"/>
  </w:num>
  <w:num w:numId="8">
    <w:abstractNumId w:val="8"/>
  </w:num>
  <w:num w:numId="9">
    <w:abstractNumId w:val="11"/>
  </w:num>
  <w:num w:numId="10">
    <w:abstractNumId w:val="4"/>
  </w:num>
  <w:num w:numId="11">
    <w:abstractNumId w:val="21"/>
  </w:num>
  <w:num w:numId="12">
    <w:abstractNumId w:val="9"/>
  </w:num>
  <w:num w:numId="13">
    <w:abstractNumId w:val="24"/>
  </w:num>
  <w:num w:numId="14">
    <w:abstractNumId w:val="20"/>
  </w:num>
  <w:num w:numId="15">
    <w:abstractNumId w:val="3"/>
  </w:num>
  <w:num w:numId="16">
    <w:abstractNumId w:val="0"/>
  </w:num>
  <w:num w:numId="17">
    <w:abstractNumId w:val="25"/>
  </w:num>
  <w:num w:numId="18">
    <w:abstractNumId w:val="2"/>
  </w:num>
  <w:num w:numId="19">
    <w:abstractNumId w:val="17"/>
  </w:num>
  <w:num w:numId="20">
    <w:abstractNumId w:val="14"/>
  </w:num>
  <w:num w:numId="21">
    <w:abstractNumId w:val="23"/>
  </w:num>
  <w:num w:numId="22">
    <w:abstractNumId w:val="7"/>
  </w:num>
  <w:num w:numId="23">
    <w:abstractNumId w:val="31"/>
  </w:num>
  <w:num w:numId="24">
    <w:abstractNumId w:val="29"/>
  </w:num>
  <w:num w:numId="25">
    <w:abstractNumId w:val="28"/>
  </w:num>
  <w:num w:numId="26">
    <w:abstractNumId w:val="27"/>
  </w:num>
  <w:num w:numId="27">
    <w:abstractNumId w:val="19"/>
  </w:num>
  <w:num w:numId="28">
    <w:abstractNumId w:val="30"/>
  </w:num>
  <w:num w:numId="29">
    <w:abstractNumId w:val="10"/>
  </w:num>
  <w:num w:numId="30">
    <w:abstractNumId w:val="18"/>
  </w:num>
  <w:num w:numId="31">
    <w:abstractNumId w:val="12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A0866"/>
    <w:rsid w:val="00000ABE"/>
    <w:rsid w:val="00006882"/>
    <w:rsid w:val="00007BEF"/>
    <w:rsid w:val="00012A38"/>
    <w:rsid w:val="00036B28"/>
    <w:rsid w:val="0004459B"/>
    <w:rsid w:val="000509FF"/>
    <w:rsid w:val="000717EB"/>
    <w:rsid w:val="000808DE"/>
    <w:rsid w:val="0008156F"/>
    <w:rsid w:val="00097FC5"/>
    <w:rsid w:val="000A32A0"/>
    <w:rsid w:val="000B0E9D"/>
    <w:rsid w:val="000B2DF7"/>
    <w:rsid w:val="000B760E"/>
    <w:rsid w:val="000C17B3"/>
    <w:rsid w:val="000D595D"/>
    <w:rsid w:val="000D606C"/>
    <w:rsid w:val="000E5C0E"/>
    <w:rsid w:val="000E7D17"/>
    <w:rsid w:val="00103774"/>
    <w:rsid w:val="001048C5"/>
    <w:rsid w:val="001218F2"/>
    <w:rsid w:val="00125D6C"/>
    <w:rsid w:val="00141617"/>
    <w:rsid w:val="00150FF2"/>
    <w:rsid w:val="00152A38"/>
    <w:rsid w:val="001602B9"/>
    <w:rsid w:val="0016156B"/>
    <w:rsid w:val="00164012"/>
    <w:rsid w:val="00165617"/>
    <w:rsid w:val="0017323B"/>
    <w:rsid w:val="0017335A"/>
    <w:rsid w:val="00173ACA"/>
    <w:rsid w:val="00176426"/>
    <w:rsid w:val="00195841"/>
    <w:rsid w:val="001A02AD"/>
    <w:rsid w:val="001A6C11"/>
    <w:rsid w:val="001B37BF"/>
    <w:rsid w:val="001C1F5F"/>
    <w:rsid w:val="001C2892"/>
    <w:rsid w:val="001C7839"/>
    <w:rsid w:val="001D0AF8"/>
    <w:rsid w:val="001E5681"/>
    <w:rsid w:val="001E6A28"/>
    <w:rsid w:val="001F15A1"/>
    <w:rsid w:val="001F19FD"/>
    <w:rsid w:val="00204C40"/>
    <w:rsid w:val="00206115"/>
    <w:rsid w:val="00212379"/>
    <w:rsid w:val="002131AA"/>
    <w:rsid w:val="00213A51"/>
    <w:rsid w:val="00216381"/>
    <w:rsid w:val="00240528"/>
    <w:rsid w:val="002424C2"/>
    <w:rsid w:val="00254978"/>
    <w:rsid w:val="0025642D"/>
    <w:rsid w:val="00262729"/>
    <w:rsid w:val="00263E11"/>
    <w:rsid w:val="002772C2"/>
    <w:rsid w:val="002823D2"/>
    <w:rsid w:val="002900CF"/>
    <w:rsid w:val="00290AC0"/>
    <w:rsid w:val="002914D0"/>
    <w:rsid w:val="00295FCA"/>
    <w:rsid w:val="002C1762"/>
    <w:rsid w:val="002C3188"/>
    <w:rsid w:val="002C418A"/>
    <w:rsid w:val="002C4699"/>
    <w:rsid w:val="002C5131"/>
    <w:rsid w:val="002D469D"/>
    <w:rsid w:val="002D5937"/>
    <w:rsid w:val="002D60EC"/>
    <w:rsid w:val="002E3AA0"/>
    <w:rsid w:val="002E5EC9"/>
    <w:rsid w:val="002E7669"/>
    <w:rsid w:val="002E7F97"/>
    <w:rsid w:val="002F30B9"/>
    <w:rsid w:val="002F35DF"/>
    <w:rsid w:val="00312814"/>
    <w:rsid w:val="00316565"/>
    <w:rsid w:val="003202E6"/>
    <w:rsid w:val="003255AF"/>
    <w:rsid w:val="0033151B"/>
    <w:rsid w:val="00332D68"/>
    <w:rsid w:val="0033737D"/>
    <w:rsid w:val="00341C75"/>
    <w:rsid w:val="00342A97"/>
    <w:rsid w:val="0034525E"/>
    <w:rsid w:val="00345F51"/>
    <w:rsid w:val="00351E7D"/>
    <w:rsid w:val="00373411"/>
    <w:rsid w:val="00384EF4"/>
    <w:rsid w:val="00391A98"/>
    <w:rsid w:val="00395E3E"/>
    <w:rsid w:val="003A25A3"/>
    <w:rsid w:val="003A5F4E"/>
    <w:rsid w:val="003C02B4"/>
    <w:rsid w:val="003D11D0"/>
    <w:rsid w:val="003D2E4E"/>
    <w:rsid w:val="003D5A4E"/>
    <w:rsid w:val="003D608E"/>
    <w:rsid w:val="003E2997"/>
    <w:rsid w:val="003E767B"/>
    <w:rsid w:val="003F3EAC"/>
    <w:rsid w:val="00404C2B"/>
    <w:rsid w:val="004129D1"/>
    <w:rsid w:val="00420DB5"/>
    <w:rsid w:val="00426DFB"/>
    <w:rsid w:val="00433AE4"/>
    <w:rsid w:val="00443233"/>
    <w:rsid w:val="0044409A"/>
    <w:rsid w:val="00444981"/>
    <w:rsid w:val="004534A4"/>
    <w:rsid w:val="004676FB"/>
    <w:rsid w:val="00471614"/>
    <w:rsid w:val="004811F5"/>
    <w:rsid w:val="0048580A"/>
    <w:rsid w:val="00494D4F"/>
    <w:rsid w:val="004A7500"/>
    <w:rsid w:val="004B0126"/>
    <w:rsid w:val="004B4D9F"/>
    <w:rsid w:val="004B595F"/>
    <w:rsid w:val="004B740A"/>
    <w:rsid w:val="004B7F1E"/>
    <w:rsid w:val="004C7617"/>
    <w:rsid w:val="004E06CA"/>
    <w:rsid w:val="004E368E"/>
    <w:rsid w:val="004E6875"/>
    <w:rsid w:val="005025E3"/>
    <w:rsid w:val="005060B4"/>
    <w:rsid w:val="00531E0A"/>
    <w:rsid w:val="00532EDD"/>
    <w:rsid w:val="005333FD"/>
    <w:rsid w:val="0053747A"/>
    <w:rsid w:val="00571156"/>
    <w:rsid w:val="00575014"/>
    <w:rsid w:val="005853C9"/>
    <w:rsid w:val="00587B60"/>
    <w:rsid w:val="005904F2"/>
    <w:rsid w:val="005A0866"/>
    <w:rsid w:val="005A3594"/>
    <w:rsid w:val="005A56FB"/>
    <w:rsid w:val="005B2206"/>
    <w:rsid w:val="005B40A1"/>
    <w:rsid w:val="005B6743"/>
    <w:rsid w:val="005C3B08"/>
    <w:rsid w:val="005D42E8"/>
    <w:rsid w:val="005D6010"/>
    <w:rsid w:val="006077D3"/>
    <w:rsid w:val="006217CC"/>
    <w:rsid w:val="00621D89"/>
    <w:rsid w:val="00634F02"/>
    <w:rsid w:val="00635010"/>
    <w:rsid w:val="0063580B"/>
    <w:rsid w:val="006373AA"/>
    <w:rsid w:val="00651ABA"/>
    <w:rsid w:val="00672A9C"/>
    <w:rsid w:val="00681E15"/>
    <w:rsid w:val="00683C80"/>
    <w:rsid w:val="00696CA1"/>
    <w:rsid w:val="006B50F0"/>
    <w:rsid w:val="006D2A33"/>
    <w:rsid w:val="006D78AA"/>
    <w:rsid w:val="006E4356"/>
    <w:rsid w:val="006E56F4"/>
    <w:rsid w:val="006F2C2D"/>
    <w:rsid w:val="00721C1C"/>
    <w:rsid w:val="00740A8F"/>
    <w:rsid w:val="00747D9C"/>
    <w:rsid w:val="00756114"/>
    <w:rsid w:val="007574DA"/>
    <w:rsid w:val="00762F00"/>
    <w:rsid w:val="00763B0F"/>
    <w:rsid w:val="0076772B"/>
    <w:rsid w:val="00792B64"/>
    <w:rsid w:val="00796988"/>
    <w:rsid w:val="007A3CE9"/>
    <w:rsid w:val="007B6140"/>
    <w:rsid w:val="007B7A66"/>
    <w:rsid w:val="007C05C9"/>
    <w:rsid w:val="007C1EE4"/>
    <w:rsid w:val="007D6928"/>
    <w:rsid w:val="007F1A22"/>
    <w:rsid w:val="007F3E85"/>
    <w:rsid w:val="007F7FB1"/>
    <w:rsid w:val="00800211"/>
    <w:rsid w:val="008071E8"/>
    <w:rsid w:val="00813633"/>
    <w:rsid w:val="0081702F"/>
    <w:rsid w:val="0081737E"/>
    <w:rsid w:val="008228F2"/>
    <w:rsid w:val="008315C1"/>
    <w:rsid w:val="008339C2"/>
    <w:rsid w:val="00840527"/>
    <w:rsid w:val="00842CBA"/>
    <w:rsid w:val="00844C2C"/>
    <w:rsid w:val="008507B6"/>
    <w:rsid w:val="00866CA6"/>
    <w:rsid w:val="00881E74"/>
    <w:rsid w:val="00882E24"/>
    <w:rsid w:val="00884F11"/>
    <w:rsid w:val="008922C2"/>
    <w:rsid w:val="00893D0A"/>
    <w:rsid w:val="008A0F6E"/>
    <w:rsid w:val="008C3230"/>
    <w:rsid w:val="008C7D46"/>
    <w:rsid w:val="008D1317"/>
    <w:rsid w:val="008E18C2"/>
    <w:rsid w:val="008E62C0"/>
    <w:rsid w:val="008F2983"/>
    <w:rsid w:val="00915F48"/>
    <w:rsid w:val="009238A9"/>
    <w:rsid w:val="00930842"/>
    <w:rsid w:val="00931E1C"/>
    <w:rsid w:val="00950FF5"/>
    <w:rsid w:val="0095205B"/>
    <w:rsid w:val="00972751"/>
    <w:rsid w:val="00980D24"/>
    <w:rsid w:val="0098603C"/>
    <w:rsid w:val="00986383"/>
    <w:rsid w:val="00997D1E"/>
    <w:rsid w:val="009A0427"/>
    <w:rsid w:val="009A0584"/>
    <w:rsid w:val="009A38B3"/>
    <w:rsid w:val="009A795F"/>
    <w:rsid w:val="009D2042"/>
    <w:rsid w:val="009D3B5F"/>
    <w:rsid w:val="009E6675"/>
    <w:rsid w:val="009F0305"/>
    <w:rsid w:val="00A024F1"/>
    <w:rsid w:val="00A10298"/>
    <w:rsid w:val="00A118FE"/>
    <w:rsid w:val="00A13063"/>
    <w:rsid w:val="00A30CB7"/>
    <w:rsid w:val="00A41132"/>
    <w:rsid w:val="00A45AEF"/>
    <w:rsid w:val="00A4793C"/>
    <w:rsid w:val="00A55386"/>
    <w:rsid w:val="00A64F15"/>
    <w:rsid w:val="00A77660"/>
    <w:rsid w:val="00A8637E"/>
    <w:rsid w:val="00A9202C"/>
    <w:rsid w:val="00AA3144"/>
    <w:rsid w:val="00AC00AD"/>
    <w:rsid w:val="00AC6C99"/>
    <w:rsid w:val="00AD475B"/>
    <w:rsid w:val="00AE3F13"/>
    <w:rsid w:val="00AF76DA"/>
    <w:rsid w:val="00B012D1"/>
    <w:rsid w:val="00B038BE"/>
    <w:rsid w:val="00B15AD8"/>
    <w:rsid w:val="00B4214F"/>
    <w:rsid w:val="00B530CD"/>
    <w:rsid w:val="00B7048C"/>
    <w:rsid w:val="00B878EC"/>
    <w:rsid w:val="00B923BE"/>
    <w:rsid w:val="00B94B49"/>
    <w:rsid w:val="00BA33E3"/>
    <w:rsid w:val="00BB36E3"/>
    <w:rsid w:val="00BD0E15"/>
    <w:rsid w:val="00BD312D"/>
    <w:rsid w:val="00BE6244"/>
    <w:rsid w:val="00BE7537"/>
    <w:rsid w:val="00BF2136"/>
    <w:rsid w:val="00BF270A"/>
    <w:rsid w:val="00BF45BA"/>
    <w:rsid w:val="00BF63F9"/>
    <w:rsid w:val="00C03E7F"/>
    <w:rsid w:val="00C04347"/>
    <w:rsid w:val="00C07066"/>
    <w:rsid w:val="00C151AF"/>
    <w:rsid w:val="00C164A9"/>
    <w:rsid w:val="00C22D54"/>
    <w:rsid w:val="00C32A90"/>
    <w:rsid w:val="00C3705A"/>
    <w:rsid w:val="00C42550"/>
    <w:rsid w:val="00C43DF6"/>
    <w:rsid w:val="00C47254"/>
    <w:rsid w:val="00C50482"/>
    <w:rsid w:val="00C51CA4"/>
    <w:rsid w:val="00C5333B"/>
    <w:rsid w:val="00C7188F"/>
    <w:rsid w:val="00C9639B"/>
    <w:rsid w:val="00C965BF"/>
    <w:rsid w:val="00CA1771"/>
    <w:rsid w:val="00CB292F"/>
    <w:rsid w:val="00CF0C56"/>
    <w:rsid w:val="00CF7971"/>
    <w:rsid w:val="00D01FA5"/>
    <w:rsid w:val="00D02001"/>
    <w:rsid w:val="00D0300E"/>
    <w:rsid w:val="00D24C42"/>
    <w:rsid w:val="00D25BA0"/>
    <w:rsid w:val="00D41E9F"/>
    <w:rsid w:val="00D43D7A"/>
    <w:rsid w:val="00D443BC"/>
    <w:rsid w:val="00D4618A"/>
    <w:rsid w:val="00D50F48"/>
    <w:rsid w:val="00D53368"/>
    <w:rsid w:val="00D75C07"/>
    <w:rsid w:val="00D80145"/>
    <w:rsid w:val="00D804FE"/>
    <w:rsid w:val="00D80B7B"/>
    <w:rsid w:val="00D8501B"/>
    <w:rsid w:val="00D86ECE"/>
    <w:rsid w:val="00D87773"/>
    <w:rsid w:val="00DA6F42"/>
    <w:rsid w:val="00DC2018"/>
    <w:rsid w:val="00DC2E4A"/>
    <w:rsid w:val="00DC75E7"/>
    <w:rsid w:val="00DD6A35"/>
    <w:rsid w:val="00DE2A6B"/>
    <w:rsid w:val="00DE7BDC"/>
    <w:rsid w:val="00E00D07"/>
    <w:rsid w:val="00E00E54"/>
    <w:rsid w:val="00E02963"/>
    <w:rsid w:val="00E0559F"/>
    <w:rsid w:val="00E10F6A"/>
    <w:rsid w:val="00E14266"/>
    <w:rsid w:val="00E15440"/>
    <w:rsid w:val="00E30CB8"/>
    <w:rsid w:val="00E50323"/>
    <w:rsid w:val="00E66410"/>
    <w:rsid w:val="00E7548C"/>
    <w:rsid w:val="00E77070"/>
    <w:rsid w:val="00E8174E"/>
    <w:rsid w:val="00E83862"/>
    <w:rsid w:val="00E8576D"/>
    <w:rsid w:val="00E97864"/>
    <w:rsid w:val="00EB31C6"/>
    <w:rsid w:val="00EC4878"/>
    <w:rsid w:val="00ED1323"/>
    <w:rsid w:val="00ED1E14"/>
    <w:rsid w:val="00F14A16"/>
    <w:rsid w:val="00F206DA"/>
    <w:rsid w:val="00F207F2"/>
    <w:rsid w:val="00F24D2C"/>
    <w:rsid w:val="00F458C4"/>
    <w:rsid w:val="00F52972"/>
    <w:rsid w:val="00F53B4F"/>
    <w:rsid w:val="00F556FE"/>
    <w:rsid w:val="00F74BF9"/>
    <w:rsid w:val="00F76FD5"/>
    <w:rsid w:val="00F819AE"/>
    <w:rsid w:val="00FA7521"/>
    <w:rsid w:val="00FC5552"/>
    <w:rsid w:val="00FE59E0"/>
    <w:rsid w:val="00FF25F6"/>
    <w:rsid w:val="00FF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locked="1" w:uiPriority="0" w:qFormat="1"/>
    <w:lsdException w:name="Default Paragraph Font" w:locked="1" w:uiPriority="0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0866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D20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D2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0021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A0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00211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A0866"/>
    <w:pPr>
      <w:overflowPunct w:val="0"/>
      <w:autoSpaceDE w:val="0"/>
      <w:autoSpaceDN w:val="0"/>
      <w:adjustRightInd w:val="0"/>
      <w:spacing w:before="120" w:after="120"/>
      <w:ind w:left="539" w:right="459"/>
      <w:jc w:val="center"/>
      <w:textAlignment w:val="baseline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00211"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086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00211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A0866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007BEF"/>
    <w:p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00211"/>
    <w:rPr>
      <w:rFonts w:cs="Times New Roman"/>
      <w:sz w:val="24"/>
      <w:szCs w:val="24"/>
    </w:rPr>
  </w:style>
  <w:style w:type="paragraph" w:customStyle="1" w:styleId="Destinatari">
    <w:name w:val="Destinatari"/>
    <w:basedOn w:val="Normale"/>
    <w:uiPriority w:val="99"/>
    <w:rsid w:val="00007BEF"/>
    <w:pPr>
      <w:numPr>
        <w:numId w:val="8"/>
      </w:numPr>
      <w:tabs>
        <w:tab w:val="left" w:pos="4406"/>
      </w:tabs>
      <w:spacing w:before="240" w:line="280" w:lineRule="exact"/>
    </w:pPr>
    <w:rPr>
      <w:rFonts w:ascii="Arial" w:hAnsi="Arial" w:cs="Arial"/>
      <w:sz w:val="20"/>
    </w:rPr>
  </w:style>
  <w:style w:type="paragraph" w:customStyle="1" w:styleId="DGServp1">
    <w:name w:val="DG_Serv p1"/>
    <w:basedOn w:val="Normale"/>
    <w:rsid w:val="00036B28"/>
    <w:pPr>
      <w:spacing w:after="60" w:line="200" w:lineRule="exact"/>
    </w:pPr>
    <w:rPr>
      <w:rFonts w:ascii="Futura Std Book" w:hAnsi="Futura Std Book"/>
      <w:sz w:val="18"/>
    </w:rPr>
  </w:style>
  <w:style w:type="paragraph" w:styleId="Testofumetto">
    <w:name w:val="Balloon Text"/>
    <w:basedOn w:val="Normale"/>
    <w:link w:val="TestofumettoCarattere"/>
    <w:uiPriority w:val="99"/>
    <w:rsid w:val="00240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40528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52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52A38"/>
    <w:rPr>
      <w:rFonts w:cs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152A3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152A3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rsid w:val="00FF48EE"/>
    <w:pPr>
      <w:widowControl w:val="0"/>
      <w:overflowPunct w:val="0"/>
      <w:autoSpaceDE w:val="0"/>
      <w:autoSpaceDN w:val="0"/>
      <w:adjustRightInd w:val="0"/>
      <w:spacing w:line="567" w:lineRule="exact"/>
      <w:ind w:left="142"/>
      <w:jc w:val="both"/>
      <w:textAlignment w:val="baseline"/>
    </w:pPr>
    <w:rPr>
      <w:rFonts w:ascii="Courier New" w:hAnsi="Courier New"/>
      <w:szCs w:val="20"/>
    </w:rPr>
  </w:style>
  <w:style w:type="paragraph" w:styleId="Paragrafoelenco">
    <w:name w:val="List Paragraph"/>
    <w:basedOn w:val="Normale"/>
    <w:uiPriority w:val="99"/>
    <w:qFormat/>
    <w:rsid w:val="00672A9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locked/>
    <w:rsid w:val="00986383"/>
    <w:pPr>
      <w:tabs>
        <w:tab w:val="right" w:leader="dot" w:pos="9394"/>
      </w:tabs>
      <w:spacing w:line="360" w:lineRule="auto"/>
    </w:pPr>
    <w:rPr>
      <w:rFonts w:ascii="Arial Narrow" w:eastAsiaTheme="minorEastAsia" w:hAnsi="Arial Narrow" w:cs="Arial"/>
      <w:noProof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1E6A28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1A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rsid w:val="009D20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9D2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A33E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33E3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APERTA PER LA PROGETTAZIONE ESECUTIVA ED ESECUZIONE DI TUTTE LE OPERE E LE FORNITURE NECESSARIE PER LA REALIZZAZIONE DELLA S</vt:lpstr>
    </vt:vector>
  </TitlesOfParts>
  <Company>RAS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APERTA PER LA PROGETTAZIONE ESECUTIVA ED ESECUZIONE DI TUTTE LE OPERE E LE FORNITURE NECESSARIE PER LA REALIZZAZIONE DELLA S</dc:title>
  <dc:subject/>
  <dc:creator>User RAS</dc:creator>
  <cp:keywords/>
  <dc:description/>
  <cp:lastModifiedBy>Gianluca</cp:lastModifiedBy>
  <cp:revision>6</cp:revision>
  <cp:lastPrinted>2016-04-21T11:14:00Z</cp:lastPrinted>
  <dcterms:created xsi:type="dcterms:W3CDTF">2017-10-03T16:19:00Z</dcterms:created>
  <dcterms:modified xsi:type="dcterms:W3CDTF">2019-07-26T07:57:00Z</dcterms:modified>
</cp:coreProperties>
</file>